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86017">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eastAsia="方正小标宋_GBK"/>
          <w:sz w:val="44"/>
          <w:szCs w:val="44"/>
        </w:rPr>
      </w:pPr>
    </w:p>
    <w:p w14:paraId="2E27CB1E">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eastAsia="方正小标宋_GBK"/>
          <w:sz w:val="44"/>
          <w:szCs w:val="44"/>
        </w:rPr>
      </w:pPr>
      <w:r>
        <w:rPr>
          <w:rFonts w:hint="eastAsia" w:eastAsia="方正小标宋_GBK"/>
          <w:sz w:val="44"/>
          <w:szCs w:val="44"/>
        </w:rPr>
        <w:t>昆明市青年</w:t>
      </w:r>
      <w:r>
        <w:rPr>
          <w:rFonts w:hint="eastAsia" w:eastAsia="方正小标宋_GBK"/>
          <w:sz w:val="44"/>
          <w:szCs w:val="44"/>
          <w:lang w:val="en-US" w:eastAsia="zh-CN"/>
        </w:rPr>
        <w:t>人才</w:t>
      </w:r>
      <w:r>
        <w:rPr>
          <w:rFonts w:hint="eastAsia" w:eastAsia="方正小标宋_GBK"/>
          <w:sz w:val="44"/>
          <w:szCs w:val="44"/>
        </w:rPr>
        <w:t>创新创业投资基金设立</w:t>
      </w:r>
      <w:r>
        <w:rPr>
          <w:rFonts w:eastAsia="方正小标宋_GBK"/>
          <w:sz w:val="44"/>
          <w:szCs w:val="44"/>
        </w:rPr>
        <w:t>方案</w:t>
      </w:r>
    </w:p>
    <w:p w14:paraId="5F786019">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eastAsia="楷体_GB2312"/>
          <w:kern w:val="0"/>
          <w:sz w:val="32"/>
          <w:szCs w:val="32"/>
          <w:lang w:eastAsia="zh-CN"/>
        </w:rPr>
      </w:pPr>
      <w:r>
        <w:rPr>
          <w:rFonts w:hint="eastAsia" w:eastAsia="楷体_GB2312"/>
          <w:kern w:val="0"/>
          <w:sz w:val="32"/>
          <w:szCs w:val="32"/>
          <w:lang w:eastAsia="zh-CN"/>
        </w:rPr>
        <w:t>（</w:t>
      </w:r>
      <w:r>
        <w:rPr>
          <w:rFonts w:hint="eastAsia" w:eastAsia="楷体_GB2312"/>
          <w:kern w:val="0"/>
          <w:sz w:val="32"/>
          <w:szCs w:val="32"/>
          <w:lang w:val="en-US" w:eastAsia="zh-CN"/>
        </w:rPr>
        <w:t>送审稿</w:t>
      </w:r>
      <w:r>
        <w:rPr>
          <w:rFonts w:hint="eastAsia" w:eastAsia="楷体_GB2312"/>
          <w:kern w:val="0"/>
          <w:sz w:val="32"/>
          <w:szCs w:val="32"/>
          <w:lang w:eastAsia="zh-CN"/>
        </w:rPr>
        <w:t>）</w:t>
      </w:r>
    </w:p>
    <w:p w14:paraId="5C6C7B44">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eastAsia="楷体_GB2312"/>
          <w:kern w:val="0"/>
          <w:sz w:val="32"/>
          <w:szCs w:val="32"/>
          <w:lang w:eastAsia="zh-CN"/>
        </w:rPr>
      </w:pPr>
    </w:p>
    <w:p w14:paraId="5F78601A">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eastAsia="仿宋_GB2312"/>
          <w:color w:val="000000"/>
          <w:kern w:val="0"/>
          <w:sz w:val="32"/>
          <w:szCs w:val="32"/>
        </w:rPr>
      </w:pPr>
      <w:r>
        <w:rPr>
          <w:rFonts w:eastAsia="仿宋_GB2312"/>
          <w:kern w:val="0"/>
          <w:sz w:val="32"/>
          <w:szCs w:val="32"/>
        </w:rPr>
        <w:t xml:space="preserve">  </w:t>
      </w:r>
      <w:r>
        <w:rPr>
          <w:rFonts w:hint="eastAsia" w:eastAsia="仿宋_GB2312"/>
          <w:kern w:val="0"/>
          <w:sz w:val="32"/>
          <w:szCs w:val="32"/>
          <w:lang w:val="en-US" w:eastAsia="zh-CN"/>
        </w:rPr>
        <w:t xml:space="preserve">  </w:t>
      </w:r>
      <w:r>
        <w:rPr>
          <w:rFonts w:hint="eastAsia" w:eastAsia="仿宋_GB2312"/>
          <w:color w:val="000000"/>
          <w:kern w:val="0"/>
          <w:sz w:val="32"/>
          <w:szCs w:val="32"/>
        </w:rPr>
        <w:t>为缓解</w:t>
      </w:r>
      <w:r>
        <w:rPr>
          <w:rFonts w:hint="eastAsia" w:eastAsia="仿宋_GB2312"/>
          <w:color w:val="000000"/>
          <w:kern w:val="0"/>
          <w:sz w:val="32"/>
          <w:szCs w:val="32"/>
          <w:lang w:val="en-US" w:eastAsia="zh-CN"/>
        </w:rPr>
        <w:t>青年人才</w:t>
      </w:r>
      <w:r>
        <w:rPr>
          <w:rFonts w:hint="eastAsia" w:eastAsia="仿宋_GB2312"/>
          <w:color w:val="000000"/>
          <w:kern w:val="0"/>
          <w:sz w:val="32"/>
          <w:szCs w:val="32"/>
        </w:rPr>
        <w:t>创业融资难与就业压力、培育其创新创业能力、孵化优质初创项目，同时挖掘区域创新潜力、推动科技成果转化以助力地方产业升级与经济发展，</w:t>
      </w:r>
      <w:r>
        <w:rPr>
          <w:rFonts w:hint="eastAsia" w:eastAsia="仿宋_GB2312"/>
          <w:color w:val="000000"/>
          <w:kern w:val="0"/>
          <w:sz w:val="32"/>
          <w:szCs w:val="32"/>
          <w:lang w:val="en-US" w:eastAsia="zh-CN"/>
        </w:rPr>
        <w:t>市地方金融管理局、共青团昆明市委</w:t>
      </w:r>
      <w:r>
        <w:rPr>
          <w:rFonts w:hint="eastAsia" w:eastAsia="仿宋_GB2312"/>
          <w:color w:val="000000"/>
          <w:kern w:val="0"/>
          <w:sz w:val="32"/>
          <w:szCs w:val="32"/>
        </w:rPr>
        <w:t>拟发起</w:t>
      </w:r>
      <w:r>
        <w:rPr>
          <w:rFonts w:eastAsia="仿宋_GB2312"/>
          <w:color w:val="000000"/>
          <w:kern w:val="0"/>
          <w:sz w:val="32"/>
          <w:szCs w:val="32"/>
        </w:rPr>
        <w:t>设立</w:t>
      </w:r>
      <w:r>
        <w:rPr>
          <w:rFonts w:hint="eastAsia" w:eastAsia="仿宋_GB2312"/>
          <w:color w:val="000000"/>
          <w:kern w:val="0"/>
          <w:sz w:val="32"/>
          <w:szCs w:val="32"/>
        </w:rPr>
        <w:t>昆明市青年</w:t>
      </w:r>
      <w:r>
        <w:rPr>
          <w:rFonts w:hint="eastAsia" w:eastAsia="仿宋_GB2312"/>
          <w:color w:val="000000"/>
          <w:kern w:val="0"/>
          <w:sz w:val="32"/>
          <w:szCs w:val="32"/>
          <w:lang w:val="en-US" w:eastAsia="zh-CN"/>
        </w:rPr>
        <w:t>人才</w:t>
      </w:r>
      <w:r>
        <w:rPr>
          <w:rFonts w:hint="eastAsia" w:eastAsia="仿宋_GB2312"/>
          <w:color w:val="000000"/>
          <w:kern w:val="0"/>
          <w:sz w:val="32"/>
          <w:szCs w:val="32"/>
        </w:rPr>
        <w:t>创新创业股权投资基金合伙企业（有限合伙）（暂定名，</w:t>
      </w:r>
      <w:r>
        <w:rPr>
          <w:rFonts w:hint="eastAsia" w:eastAsia="仿宋_GB2312"/>
          <w:sz w:val="32"/>
          <w:szCs w:val="32"/>
        </w:rPr>
        <w:t>最终以工商核名为准，</w:t>
      </w:r>
      <w:r>
        <w:rPr>
          <w:rFonts w:eastAsia="仿宋_GB2312"/>
          <w:color w:val="000000"/>
          <w:kern w:val="0"/>
          <w:sz w:val="32"/>
          <w:szCs w:val="32"/>
        </w:rPr>
        <w:t>以下简称“</w:t>
      </w:r>
      <w:r>
        <w:rPr>
          <w:rFonts w:hint="eastAsia" w:eastAsia="仿宋_GB2312"/>
          <w:color w:val="000000"/>
          <w:kern w:val="0"/>
          <w:sz w:val="32"/>
          <w:szCs w:val="32"/>
        </w:rPr>
        <w:t>青年</w:t>
      </w:r>
      <w:r>
        <w:rPr>
          <w:rFonts w:hint="eastAsia" w:eastAsia="仿宋_GB2312"/>
          <w:color w:val="000000"/>
          <w:kern w:val="0"/>
          <w:sz w:val="32"/>
          <w:szCs w:val="32"/>
          <w:lang w:val="en-US" w:eastAsia="zh-CN"/>
        </w:rPr>
        <w:t>人才</w:t>
      </w:r>
      <w:r>
        <w:rPr>
          <w:rFonts w:hint="eastAsia" w:eastAsia="仿宋_GB2312"/>
          <w:color w:val="000000"/>
          <w:kern w:val="0"/>
          <w:sz w:val="32"/>
          <w:szCs w:val="32"/>
        </w:rPr>
        <w:t>创</w:t>
      </w:r>
      <w:r>
        <w:rPr>
          <w:rFonts w:hint="eastAsia" w:eastAsia="仿宋_GB2312"/>
          <w:color w:val="000000"/>
          <w:kern w:val="0"/>
          <w:sz w:val="32"/>
          <w:szCs w:val="32"/>
          <w:lang w:val="en-US" w:eastAsia="zh-CN"/>
        </w:rPr>
        <w:t>投</w:t>
      </w:r>
      <w:r>
        <w:rPr>
          <w:rFonts w:hint="eastAsia" w:eastAsia="仿宋_GB2312"/>
          <w:color w:val="000000"/>
          <w:kern w:val="0"/>
          <w:sz w:val="32"/>
          <w:szCs w:val="32"/>
        </w:rPr>
        <w:t>基金</w:t>
      </w:r>
      <w:r>
        <w:rPr>
          <w:rFonts w:eastAsia="仿宋_GB2312"/>
          <w:color w:val="000000"/>
          <w:kern w:val="0"/>
          <w:sz w:val="32"/>
          <w:szCs w:val="32"/>
        </w:rPr>
        <w:t>”</w:t>
      </w:r>
      <w:r>
        <w:rPr>
          <w:rFonts w:hint="eastAsia" w:eastAsia="仿宋_GB2312"/>
          <w:color w:val="000000"/>
          <w:kern w:val="0"/>
          <w:sz w:val="32"/>
          <w:szCs w:val="32"/>
        </w:rPr>
        <w:t>或“基金”），</w:t>
      </w:r>
      <w:r>
        <w:rPr>
          <w:rFonts w:eastAsia="仿宋_GB2312"/>
          <w:color w:val="000000"/>
          <w:kern w:val="0"/>
          <w:sz w:val="32"/>
          <w:szCs w:val="32"/>
        </w:rPr>
        <w:t>基金的设立方案如下</w:t>
      </w:r>
      <w:r>
        <w:rPr>
          <w:rFonts w:hint="eastAsia" w:eastAsia="仿宋_GB2312"/>
          <w:color w:val="000000"/>
          <w:kern w:val="0"/>
          <w:sz w:val="32"/>
          <w:szCs w:val="32"/>
        </w:rPr>
        <w:t>。</w:t>
      </w:r>
    </w:p>
    <w:p w14:paraId="5F78601B">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eastAsia="黑体"/>
          <w:sz w:val="32"/>
          <w:szCs w:val="32"/>
        </w:rPr>
      </w:pPr>
      <w:r>
        <w:rPr>
          <w:rFonts w:eastAsia="仿宋"/>
          <w:kern w:val="0"/>
          <w:sz w:val="32"/>
          <w:szCs w:val="32"/>
        </w:rPr>
        <w:t xml:space="preserve">    </w:t>
      </w:r>
      <w:r>
        <w:rPr>
          <w:rFonts w:hAnsi="黑体" w:eastAsia="黑体"/>
          <w:sz w:val="32"/>
          <w:szCs w:val="32"/>
        </w:rPr>
        <w:t>一、</w:t>
      </w:r>
      <w:r>
        <w:rPr>
          <w:rFonts w:hint="eastAsia" w:hAnsi="黑体" w:eastAsia="黑体"/>
          <w:sz w:val="32"/>
          <w:szCs w:val="32"/>
        </w:rPr>
        <w:t>设立</w:t>
      </w:r>
      <w:r>
        <w:rPr>
          <w:rFonts w:hAnsi="黑体" w:eastAsia="黑体"/>
          <w:sz w:val="32"/>
          <w:szCs w:val="32"/>
        </w:rPr>
        <w:t>背景</w:t>
      </w:r>
    </w:p>
    <w:p w14:paraId="5F78601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kern w:val="0"/>
          <w:sz w:val="32"/>
          <w:szCs w:val="32"/>
        </w:rPr>
      </w:pPr>
      <w:r>
        <w:rPr>
          <w:rFonts w:hint="eastAsia" w:eastAsia="仿宋_GB2312"/>
          <w:kern w:val="0"/>
          <w:sz w:val="32"/>
          <w:szCs w:val="32"/>
        </w:rPr>
        <w:t>近年来，党中央、国务院将“稳就业”、“保居民就业”置于重要位置。昆明市作为云南省省会，是全省高校毕业生就业创业的核心区域，每年有大量高校毕业生涌入就业市场。但经济下行压力</w:t>
      </w:r>
      <w:r>
        <w:rPr>
          <w:rFonts w:hint="eastAsia" w:eastAsia="仿宋_GB2312"/>
          <w:kern w:val="0"/>
          <w:sz w:val="32"/>
          <w:szCs w:val="32"/>
          <w:lang w:eastAsia="zh-CN"/>
        </w:rPr>
        <w:t>叠加</w:t>
      </w:r>
      <w:r>
        <w:rPr>
          <w:rFonts w:hint="eastAsia" w:eastAsia="仿宋_GB2312"/>
          <w:kern w:val="0"/>
          <w:sz w:val="32"/>
          <w:szCs w:val="32"/>
        </w:rPr>
        <w:t>，导致中小微企业经营困难、岗位需求减弱，高校毕业生就业竞争压力显著增大。尽管昆明市已构建较完善的创业创新生态体系，出台多项支持政策并实施相关创业项目，但</w:t>
      </w:r>
      <w:r>
        <w:rPr>
          <w:rFonts w:hint="eastAsia" w:eastAsia="仿宋_GB2312"/>
          <w:kern w:val="0"/>
          <w:sz w:val="32"/>
          <w:szCs w:val="32"/>
          <w:lang w:val="en-US" w:eastAsia="zh-CN"/>
        </w:rPr>
        <w:t>青年人才</w:t>
      </w:r>
      <w:r>
        <w:rPr>
          <w:rFonts w:hint="eastAsia" w:eastAsia="仿宋_GB2312"/>
          <w:kern w:val="0"/>
          <w:sz w:val="32"/>
          <w:szCs w:val="32"/>
        </w:rPr>
        <w:t>创业群体的融资难题仍较为突出，一是启动阶段资金缺口大、即时需求迫切，二是因缺乏有效抵押物、创业经验不足，银行贷款等传统融资渠道难提供有效支持，融资困境成为制约</w:t>
      </w:r>
      <w:r>
        <w:rPr>
          <w:rFonts w:hint="eastAsia" w:eastAsia="仿宋_GB2312"/>
          <w:kern w:val="0"/>
          <w:sz w:val="32"/>
          <w:szCs w:val="32"/>
          <w:lang w:eastAsia="zh-CN"/>
        </w:rPr>
        <w:t>青年人才</w:t>
      </w:r>
      <w:r>
        <w:rPr>
          <w:rFonts w:hint="eastAsia" w:eastAsia="仿宋_GB2312"/>
          <w:kern w:val="0"/>
          <w:sz w:val="32"/>
          <w:szCs w:val="32"/>
        </w:rPr>
        <w:t>创业起步的关键瓶颈。在此背景下，设立</w:t>
      </w:r>
      <w:r>
        <w:rPr>
          <w:rFonts w:hint="eastAsia" w:eastAsia="仿宋_GB2312"/>
          <w:kern w:val="0"/>
          <w:sz w:val="32"/>
          <w:szCs w:val="32"/>
          <w:lang w:eastAsia="zh-CN"/>
        </w:rPr>
        <w:t>青年人才</w:t>
      </w:r>
      <w:r>
        <w:rPr>
          <w:rFonts w:hint="eastAsia" w:eastAsia="仿宋_GB2312"/>
          <w:kern w:val="0"/>
          <w:sz w:val="32"/>
          <w:szCs w:val="32"/>
        </w:rPr>
        <w:t>创业基金，旨在通过降低融资门槛、提供资金支持，缓解</w:t>
      </w:r>
      <w:r>
        <w:rPr>
          <w:rFonts w:hint="eastAsia" w:eastAsia="仿宋_GB2312"/>
          <w:kern w:val="0"/>
          <w:sz w:val="32"/>
          <w:szCs w:val="32"/>
          <w:lang w:eastAsia="zh-CN"/>
        </w:rPr>
        <w:t>青年人才</w:t>
      </w:r>
      <w:r>
        <w:rPr>
          <w:rFonts w:hint="eastAsia" w:eastAsia="仿宋_GB2312"/>
          <w:kern w:val="0"/>
          <w:sz w:val="32"/>
          <w:szCs w:val="32"/>
        </w:rPr>
        <w:t>创业融资难题，同步培育其创新思维与创业能力，孵化优质初创项目；以创业带动就业，拓宽高校毕业生就业渠道、缓解就业压力；并依托项目挖掘区域创新潜力，推动科技成果转化，最终助力地方产业升级与经济高质量发展。</w:t>
      </w:r>
    </w:p>
    <w:p w14:paraId="5F78601D">
      <w:pPr>
        <w:keepNext w:val="0"/>
        <w:keepLines w:val="0"/>
        <w:pageBreakBefore w:val="0"/>
        <w:widowControl w:val="0"/>
        <w:kinsoku/>
        <w:wordWrap/>
        <w:overflowPunct/>
        <w:topLinePunct w:val="0"/>
        <w:autoSpaceDE/>
        <w:autoSpaceDN/>
        <w:bidi w:val="0"/>
        <w:adjustRightInd/>
        <w:snapToGrid/>
        <w:spacing w:after="0" w:line="560" w:lineRule="exact"/>
        <w:contextualSpacing/>
        <w:textAlignment w:val="auto"/>
        <w:rPr>
          <w:rFonts w:eastAsia="黑体"/>
          <w:sz w:val="32"/>
          <w:szCs w:val="32"/>
        </w:rPr>
      </w:pPr>
      <w:r>
        <w:rPr>
          <w:rFonts w:eastAsia="仿宋_GB2312"/>
          <w:kern w:val="0"/>
          <w:sz w:val="32"/>
          <w:szCs w:val="32"/>
        </w:rPr>
        <w:t xml:space="preserve">    </w:t>
      </w:r>
      <w:r>
        <w:rPr>
          <w:rFonts w:hAnsi="黑体" w:eastAsia="黑体"/>
          <w:sz w:val="32"/>
          <w:szCs w:val="32"/>
        </w:rPr>
        <w:t>二、基金类型</w:t>
      </w:r>
    </w:p>
    <w:p w14:paraId="5F78601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kern w:val="0"/>
          <w:sz w:val="32"/>
          <w:szCs w:val="32"/>
        </w:rPr>
      </w:pPr>
      <w:r>
        <w:rPr>
          <w:rFonts w:hint="eastAsia" w:eastAsia="仿宋_GB2312"/>
          <w:kern w:val="0"/>
          <w:sz w:val="32"/>
          <w:szCs w:val="32"/>
        </w:rPr>
        <w:t>有限合伙企业（创业投资类）</w:t>
      </w:r>
      <w:r>
        <w:rPr>
          <w:rFonts w:eastAsia="仿宋_GB2312"/>
          <w:kern w:val="0"/>
          <w:sz w:val="32"/>
          <w:szCs w:val="32"/>
        </w:rPr>
        <w:t>。</w:t>
      </w:r>
    </w:p>
    <w:p w14:paraId="5F78601F">
      <w:pPr>
        <w:keepNext w:val="0"/>
        <w:keepLines w:val="0"/>
        <w:pageBreakBefore w:val="0"/>
        <w:widowControl w:val="0"/>
        <w:kinsoku/>
        <w:wordWrap/>
        <w:overflowPunct/>
        <w:topLinePunct w:val="0"/>
        <w:autoSpaceDE/>
        <w:autoSpaceDN/>
        <w:bidi w:val="0"/>
        <w:adjustRightInd/>
        <w:snapToGrid/>
        <w:spacing w:after="0" w:line="560" w:lineRule="exact"/>
        <w:ind w:firstLine="627" w:firstLineChars="196"/>
        <w:contextualSpacing/>
        <w:textAlignment w:val="auto"/>
        <w:rPr>
          <w:rFonts w:eastAsia="黑体"/>
          <w:sz w:val="32"/>
          <w:szCs w:val="32"/>
        </w:rPr>
      </w:pPr>
      <w:r>
        <w:rPr>
          <w:rFonts w:hAnsi="黑体" w:eastAsia="黑体"/>
          <w:sz w:val="32"/>
          <w:szCs w:val="32"/>
        </w:rPr>
        <w:t>三、基金规模</w:t>
      </w:r>
    </w:p>
    <w:p w14:paraId="5F78602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kern w:val="0"/>
          <w:sz w:val="32"/>
          <w:szCs w:val="32"/>
        </w:rPr>
      </w:pPr>
      <w:r>
        <w:rPr>
          <w:rFonts w:hint="eastAsia" w:eastAsia="仿宋_GB2312"/>
          <w:kern w:val="0"/>
          <w:sz w:val="32"/>
          <w:szCs w:val="32"/>
          <w:lang w:eastAsia="zh-CN"/>
        </w:rPr>
        <w:t>青年人才</w:t>
      </w:r>
      <w:r>
        <w:rPr>
          <w:rFonts w:hint="eastAsia" w:eastAsia="仿宋_GB2312"/>
          <w:kern w:val="0"/>
          <w:sz w:val="32"/>
          <w:szCs w:val="32"/>
          <w:lang w:val="en-US" w:eastAsia="zh-CN"/>
        </w:rPr>
        <w:t>创投</w:t>
      </w:r>
      <w:r>
        <w:rPr>
          <w:rFonts w:hint="eastAsia" w:eastAsia="仿宋_GB2312"/>
          <w:kern w:val="0"/>
          <w:sz w:val="32"/>
          <w:szCs w:val="32"/>
        </w:rPr>
        <w:t>基金采用分期设立模式，根据投资进度、资金筹措情况及项目储备动态调整。</w:t>
      </w:r>
    </w:p>
    <w:p w14:paraId="5F786021">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eastAsia="仿宋_GB2312"/>
          <w:kern w:val="0"/>
          <w:sz w:val="32"/>
          <w:szCs w:val="32"/>
        </w:rPr>
      </w:pPr>
      <w:r>
        <w:rPr>
          <w:rFonts w:hint="eastAsia" w:eastAsia="仿宋_GB2312"/>
          <w:b/>
          <w:bCs/>
          <w:kern w:val="0"/>
          <w:sz w:val="32"/>
          <w:szCs w:val="32"/>
        </w:rPr>
        <w:t>一期基金：</w:t>
      </w:r>
      <w:r>
        <w:rPr>
          <w:rFonts w:hint="eastAsia" w:eastAsia="仿宋_GB2312"/>
          <w:kern w:val="0"/>
          <w:sz w:val="32"/>
          <w:szCs w:val="32"/>
        </w:rPr>
        <w:t>初始实缴募集资金规模不低于1,000万元人民币，备案后6个月内完成一期初始募集规模的最低实缴出资；</w:t>
      </w:r>
    </w:p>
    <w:p w14:paraId="5F786022">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eastAsia="仿宋_GB2312"/>
          <w:kern w:val="0"/>
          <w:sz w:val="32"/>
          <w:szCs w:val="32"/>
        </w:rPr>
      </w:pPr>
      <w:r>
        <w:rPr>
          <w:rFonts w:hint="eastAsia" w:eastAsia="仿宋_GB2312"/>
          <w:b/>
          <w:bCs/>
          <w:kern w:val="0"/>
          <w:sz w:val="32"/>
          <w:szCs w:val="32"/>
        </w:rPr>
        <w:t>后续基金（二期、三期等）：</w:t>
      </w:r>
      <w:r>
        <w:rPr>
          <w:rFonts w:hint="eastAsia" w:eastAsia="仿宋_GB2312"/>
          <w:kern w:val="0"/>
          <w:sz w:val="32"/>
          <w:szCs w:val="32"/>
        </w:rPr>
        <w:t>根据一期基金运作成效、社会资本募集情况及优质项目储备量，适时启动二期、三期基金设立工作，具体规模另行确定。</w:t>
      </w:r>
    </w:p>
    <w:p w14:paraId="5F78602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黑体"/>
          <w:sz w:val="32"/>
          <w:szCs w:val="32"/>
        </w:rPr>
      </w:pPr>
      <w:r>
        <w:rPr>
          <w:rFonts w:hAnsi="黑体" w:eastAsia="黑体"/>
          <w:sz w:val="32"/>
          <w:szCs w:val="32"/>
        </w:rPr>
        <w:t>四、出资方案</w:t>
      </w:r>
    </w:p>
    <w:p w14:paraId="5F78602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kern w:val="0"/>
          <w:sz w:val="32"/>
          <w:szCs w:val="32"/>
        </w:rPr>
      </w:pPr>
      <w:r>
        <w:rPr>
          <w:rFonts w:eastAsia="楷体_GB2312"/>
          <w:kern w:val="0"/>
          <w:sz w:val="32"/>
          <w:szCs w:val="32"/>
        </w:rPr>
        <w:t>（一）出资人</w:t>
      </w:r>
      <w:r>
        <w:rPr>
          <w:rFonts w:hint="eastAsia" w:eastAsia="仿宋_GB2312"/>
          <w:kern w:val="0"/>
          <w:sz w:val="32"/>
          <w:szCs w:val="32"/>
        </w:rPr>
        <w:t>：基金LP为</w:t>
      </w:r>
      <w:r>
        <w:rPr>
          <w:rFonts w:hint="eastAsia" w:eastAsia="仿宋_GB2312"/>
          <w:kern w:val="0"/>
          <w:sz w:val="32"/>
          <w:szCs w:val="32"/>
          <w:lang w:val="en-US" w:eastAsia="zh-CN"/>
        </w:rPr>
        <w:t>昆</w:t>
      </w:r>
      <w:r>
        <w:rPr>
          <w:rFonts w:hint="eastAsia" w:eastAsia="仿宋_GB2312"/>
          <w:kern w:val="0"/>
          <w:sz w:val="32"/>
          <w:szCs w:val="32"/>
          <w:highlight w:val="none"/>
          <w:lang w:val="en-US" w:eastAsia="zh-CN"/>
        </w:rPr>
        <w:t>明</w:t>
      </w:r>
      <w:r>
        <w:rPr>
          <w:rFonts w:hint="eastAsia" w:eastAsia="仿宋_GB2312"/>
          <w:color w:val="auto"/>
          <w:kern w:val="0"/>
          <w:sz w:val="32"/>
          <w:szCs w:val="32"/>
          <w:highlight w:val="none"/>
          <w:lang w:val="en-US" w:eastAsia="zh-CN"/>
        </w:rPr>
        <w:t>滇域产业资本投资运营有限公司（以下简称“滇域资本”）</w:t>
      </w:r>
      <w:r>
        <w:rPr>
          <w:rFonts w:hint="eastAsia" w:eastAsia="仿宋_GB2312"/>
          <w:kern w:val="0"/>
          <w:sz w:val="32"/>
          <w:szCs w:val="32"/>
        </w:rPr>
        <w:t>及其他社会投资人；GP/执行事务合伙人/基金管理人</w:t>
      </w:r>
      <w:r>
        <w:rPr>
          <w:rFonts w:hint="eastAsia" w:eastAsia="仿宋_GB2312"/>
          <w:kern w:val="0"/>
          <w:sz w:val="32"/>
          <w:szCs w:val="32"/>
          <w:lang w:val="en-US" w:eastAsia="zh-CN"/>
        </w:rPr>
        <w:t>按照《昆明市政府投资基金管理暂行办法</w:t>
      </w:r>
      <w:bookmarkStart w:id="0" w:name="_GoBack"/>
      <w:bookmarkEnd w:id="0"/>
      <w:r>
        <w:rPr>
          <w:rFonts w:hint="eastAsia" w:eastAsia="仿宋_GB2312"/>
          <w:kern w:val="0"/>
          <w:sz w:val="32"/>
          <w:szCs w:val="32"/>
          <w:lang w:val="en-US" w:eastAsia="zh-CN"/>
        </w:rPr>
        <w:t>》可由市级行业主管部门指定市属国有企业或开展市场化遴选。</w:t>
      </w:r>
    </w:p>
    <w:p w14:paraId="5F78602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kern w:val="0"/>
          <w:sz w:val="32"/>
          <w:szCs w:val="32"/>
        </w:rPr>
      </w:pPr>
      <w:r>
        <w:rPr>
          <w:rFonts w:hint="eastAsia" w:eastAsia="楷体_GB2312"/>
          <w:kern w:val="0"/>
          <w:sz w:val="32"/>
          <w:szCs w:val="32"/>
        </w:rPr>
        <w:t>（二）出资比例及资金来源</w:t>
      </w:r>
      <w:r>
        <w:rPr>
          <w:rFonts w:eastAsia="楷体_GB2312"/>
          <w:kern w:val="0"/>
          <w:sz w:val="32"/>
          <w:szCs w:val="32"/>
        </w:rPr>
        <w:t>：</w:t>
      </w:r>
      <w:r>
        <w:rPr>
          <w:rFonts w:hint="eastAsia" w:eastAsia="仿宋_GB2312"/>
          <w:kern w:val="0"/>
          <w:sz w:val="32"/>
          <w:szCs w:val="32"/>
          <w:lang w:eastAsia="zh-CN"/>
        </w:rPr>
        <w:t>青年人才</w:t>
      </w:r>
      <w:r>
        <w:rPr>
          <w:rFonts w:eastAsia="仿宋_GB2312"/>
          <w:kern w:val="0"/>
          <w:sz w:val="32"/>
          <w:szCs w:val="32"/>
        </w:rPr>
        <w:t>创业基金</w:t>
      </w:r>
      <w:r>
        <w:rPr>
          <w:rFonts w:hint="eastAsia" w:eastAsia="仿宋_GB2312"/>
          <w:kern w:val="0"/>
          <w:sz w:val="32"/>
          <w:szCs w:val="32"/>
        </w:rPr>
        <w:t>采用“动态调整+精准投放”模式，</w:t>
      </w:r>
      <w:r>
        <w:rPr>
          <w:rFonts w:hint="eastAsia" w:eastAsia="仿宋_GB2312"/>
          <w:kern w:val="0"/>
          <w:sz w:val="32"/>
          <w:szCs w:val="32"/>
          <w:highlight w:val="none"/>
          <w:lang w:val="en-US" w:eastAsia="zh-CN"/>
        </w:rPr>
        <w:t>滇域资本</w:t>
      </w:r>
      <w:r>
        <w:rPr>
          <w:rFonts w:hint="eastAsia" w:eastAsia="仿宋_GB2312"/>
          <w:kern w:val="0"/>
          <w:sz w:val="32"/>
          <w:szCs w:val="32"/>
          <w:highlight w:val="none"/>
        </w:rPr>
        <w:t>作为LP认缴出资不低于</w:t>
      </w:r>
      <w:r>
        <w:rPr>
          <w:rFonts w:hint="eastAsia" w:eastAsia="仿宋_GB2312"/>
          <w:kern w:val="0"/>
          <w:sz w:val="32"/>
          <w:szCs w:val="32"/>
          <w:highlight w:val="none"/>
          <w:lang w:eastAsia="zh-CN"/>
        </w:rPr>
        <w:t>青年人才</w:t>
      </w:r>
      <w:r>
        <w:rPr>
          <w:rFonts w:hint="eastAsia" w:eastAsia="仿宋_GB2312"/>
          <w:kern w:val="0"/>
          <w:sz w:val="32"/>
          <w:szCs w:val="32"/>
          <w:highlight w:val="none"/>
        </w:rPr>
        <w:t>创业基金总规模的60%，资金从市级财政资金统筹安排，由市财政注资滇域资本</w:t>
      </w:r>
      <w:r>
        <w:rPr>
          <w:rFonts w:hint="eastAsia" w:eastAsia="仿宋_GB2312"/>
          <w:kern w:val="0"/>
          <w:sz w:val="32"/>
          <w:szCs w:val="32"/>
          <w:highlight w:val="none"/>
          <w:lang w:val="en-US" w:eastAsia="zh-CN"/>
        </w:rPr>
        <w:t>后</w:t>
      </w:r>
      <w:r>
        <w:rPr>
          <w:rFonts w:hint="eastAsia" w:eastAsia="仿宋_GB2312"/>
          <w:kern w:val="0"/>
          <w:sz w:val="32"/>
          <w:szCs w:val="32"/>
          <w:highlight w:val="none"/>
        </w:rPr>
        <w:t>，再成立</w:t>
      </w:r>
      <w:r>
        <w:rPr>
          <w:rFonts w:hint="eastAsia" w:eastAsia="仿宋_GB2312"/>
          <w:kern w:val="0"/>
          <w:sz w:val="32"/>
          <w:szCs w:val="32"/>
          <w:highlight w:val="none"/>
          <w:lang w:eastAsia="zh-CN"/>
        </w:rPr>
        <w:t>青年人才</w:t>
      </w:r>
      <w:r>
        <w:rPr>
          <w:rFonts w:hint="eastAsia" w:eastAsia="仿宋_GB2312"/>
          <w:kern w:val="0"/>
          <w:sz w:val="32"/>
          <w:szCs w:val="32"/>
          <w:highlight w:val="none"/>
        </w:rPr>
        <w:t>创投基金。G</w:t>
      </w:r>
      <w:r>
        <w:rPr>
          <w:rFonts w:hint="eastAsia" w:eastAsia="仿宋_GB2312"/>
          <w:kern w:val="0"/>
          <w:sz w:val="32"/>
          <w:szCs w:val="32"/>
        </w:rPr>
        <w:t>P</w:t>
      </w:r>
      <w:r>
        <w:rPr>
          <w:rFonts w:hint="eastAsia" w:eastAsia="仿宋_GB2312"/>
          <w:kern w:val="0"/>
          <w:sz w:val="32"/>
          <w:szCs w:val="32"/>
          <w:lang w:eastAsia="zh-CN"/>
        </w:rPr>
        <w:t>（</w:t>
      </w:r>
      <w:r>
        <w:rPr>
          <w:rFonts w:hint="eastAsia" w:eastAsia="仿宋_GB2312"/>
          <w:kern w:val="0"/>
          <w:sz w:val="32"/>
          <w:szCs w:val="32"/>
          <w:lang w:val="en-US" w:eastAsia="zh-CN"/>
        </w:rPr>
        <w:t>基金管理人，符合私募投资基金备案指引2号第七条第四项规定</w:t>
      </w:r>
      <w:r>
        <w:rPr>
          <w:rFonts w:hint="eastAsia" w:eastAsia="仿宋_GB2312"/>
          <w:kern w:val="0"/>
          <w:sz w:val="32"/>
          <w:szCs w:val="32"/>
          <w:lang w:eastAsia="zh-CN"/>
        </w:rPr>
        <w:t>）</w:t>
      </w:r>
      <w:r>
        <w:rPr>
          <w:rFonts w:hint="eastAsia" w:eastAsia="仿宋_GB2312"/>
          <w:kern w:val="0"/>
          <w:sz w:val="32"/>
          <w:szCs w:val="32"/>
        </w:rPr>
        <w:t>认缴出资10万元人民币，按照LP实缴出资时间同比例同步到位；基金可向</w:t>
      </w:r>
      <w:r>
        <w:rPr>
          <w:rFonts w:eastAsia="仿宋_GB2312"/>
          <w:kern w:val="0"/>
          <w:sz w:val="32"/>
          <w:szCs w:val="32"/>
        </w:rPr>
        <w:t>云南省</w:t>
      </w:r>
      <w:r>
        <w:rPr>
          <w:rFonts w:hint="eastAsia" w:eastAsia="仿宋_GB2312"/>
          <w:kern w:val="0"/>
          <w:sz w:val="32"/>
          <w:szCs w:val="32"/>
        </w:rPr>
        <w:t>及</w:t>
      </w:r>
      <w:r>
        <w:rPr>
          <w:rFonts w:eastAsia="仿宋_GB2312"/>
          <w:kern w:val="0"/>
          <w:sz w:val="32"/>
          <w:szCs w:val="32"/>
        </w:rPr>
        <w:t>昆明市</w:t>
      </w:r>
      <w:r>
        <w:rPr>
          <w:rFonts w:hint="eastAsia" w:eastAsia="仿宋_GB2312"/>
          <w:kern w:val="0"/>
          <w:sz w:val="32"/>
          <w:szCs w:val="32"/>
        </w:rPr>
        <w:t>/区国有企业</w:t>
      </w:r>
      <w:r>
        <w:rPr>
          <w:rFonts w:eastAsia="仿宋_GB2312"/>
          <w:kern w:val="0"/>
          <w:sz w:val="32"/>
          <w:szCs w:val="32"/>
        </w:rPr>
        <w:t>、</w:t>
      </w:r>
      <w:r>
        <w:rPr>
          <w:rFonts w:hint="eastAsia" w:eastAsia="仿宋_GB2312"/>
          <w:kern w:val="0"/>
          <w:sz w:val="32"/>
          <w:szCs w:val="32"/>
        </w:rPr>
        <w:t>产业</w:t>
      </w:r>
      <w:r>
        <w:rPr>
          <w:rFonts w:eastAsia="仿宋_GB2312"/>
          <w:kern w:val="0"/>
          <w:sz w:val="32"/>
          <w:szCs w:val="32"/>
        </w:rPr>
        <w:t>投资机构或其他社会资本募集</w:t>
      </w:r>
      <w:r>
        <w:rPr>
          <w:rFonts w:hint="eastAsia" w:eastAsia="仿宋_GB2312"/>
          <w:kern w:val="0"/>
          <w:sz w:val="32"/>
          <w:szCs w:val="32"/>
        </w:rPr>
        <w:t>；</w:t>
      </w:r>
    </w:p>
    <w:p w14:paraId="5F78602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kern w:val="0"/>
          <w:sz w:val="32"/>
          <w:szCs w:val="32"/>
        </w:rPr>
      </w:pPr>
      <w:r>
        <w:rPr>
          <w:rFonts w:eastAsia="楷体_GB2312"/>
          <w:kern w:val="0"/>
          <w:sz w:val="32"/>
          <w:szCs w:val="32"/>
        </w:rPr>
        <w:t>（</w:t>
      </w:r>
      <w:r>
        <w:rPr>
          <w:rFonts w:hint="eastAsia" w:eastAsia="楷体_GB2312"/>
          <w:kern w:val="0"/>
          <w:sz w:val="32"/>
          <w:szCs w:val="32"/>
        </w:rPr>
        <w:t>三</w:t>
      </w:r>
      <w:r>
        <w:rPr>
          <w:rFonts w:eastAsia="楷体_GB2312"/>
          <w:kern w:val="0"/>
          <w:sz w:val="32"/>
          <w:szCs w:val="32"/>
        </w:rPr>
        <w:t>）</w:t>
      </w:r>
      <w:r>
        <w:rPr>
          <w:rFonts w:hint="eastAsia" w:eastAsia="楷体_GB2312"/>
          <w:kern w:val="0"/>
          <w:sz w:val="32"/>
          <w:szCs w:val="32"/>
        </w:rPr>
        <w:t>基金注册地</w:t>
      </w:r>
      <w:r>
        <w:rPr>
          <w:rFonts w:eastAsia="楷体_GB2312"/>
          <w:kern w:val="0"/>
          <w:sz w:val="32"/>
          <w:szCs w:val="32"/>
        </w:rPr>
        <w:t>：</w:t>
      </w:r>
      <w:r>
        <w:rPr>
          <w:rFonts w:eastAsia="仿宋_GB2312"/>
          <w:kern w:val="0"/>
          <w:sz w:val="32"/>
          <w:szCs w:val="32"/>
        </w:rPr>
        <w:t>昆明市行政区域内</w:t>
      </w:r>
      <w:r>
        <w:rPr>
          <w:rFonts w:hint="eastAsia" w:eastAsia="仿宋_GB2312"/>
          <w:kern w:val="0"/>
          <w:sz w:val="32"/>
          <w:szCs w:val="32"/>
        </w:rPr>
        <w:t>。</w:t>
      </w:r>
    </w:p>
    <w:p w14:paraId="5F78602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黑体"/>
          <w:sz w:val="32"/>
          <w:szCs w:val="32"/>
        </w:rPr>
      </w:pPr>
      <w:r>
        <w:rPr>
          <w:rFonts w:hAnsi="黑体" w:eastAsia="黑体"/>
          <w:sz w:val="32"/>
          <w:szCs w:val="32"/>
        </w:rPr>
        <w:t>五、投资</w:t>
      </w:r>
      <w:r>
        <w:rPr>
          <w:rFonts w:hint="eastAsia" w:hAnsi="黑体" w:eastAsia="黑体"/>
          <w:sz w:val="32"/>
          <w:szCs w:val="32"/>
        </w:rPr>
        <w:t>方案</w:t>
      </w:r>
    </w:p>
    <w:p w14:paraId="5F786028">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eastAsia="楷体_GB2312"/>
          <w:sz w:val="32"/>
          <w:szCs w:val="32"/>
        </w:rPr>
      </w:pPr>
      <w:r>
        <w:rPr>
          <w:rFonts w:eastAsia="楷体_GB2312"/>
          <w:sz w:val="32"/>
          <w:szCs w:val="32"/>
        </w:rPr>
        <w:t>（一）重点投向</w:t>
      </w:r>
    </w:p>
    <w:p w14:paraId="5F786029">
      <w:pPr>
        <w:keepNext w:val="0"/>
        <w:keepLines w:val="0"/>
        <w:pageBreakBefore w:val="0"/>
        <w:widowControl w:val="0"/>
        <w:kinsoku/>
        <w:wordWrap/>
        <w:overflowPunct/>
        <w:topLinePunct w:val="0"/>
        <w:autoSpaceDE/>
        <w:autoSpaceDN/>
        <w:bidi w:val="0"/>
        <w:adjustRightInd/>
        <w:snapToGrid/>
        <w:spacing w:after="0" w:line="560" w:lineRule="exact"/>
        <w:ind w:firstLine="627" w:firstLineChars="196"/>
        <w:contextualSpacing/>
        <w:textAlignment w:val="auto"/>
        <w:rPr>
          <w:rFonts w:eastAsia="仿宋_GB2312"/>
          <w:kern w:val="0"/>
          <w:sz w:val="32"/>
          <w:szCs w:val="32"/>
        </w:rPr>
      </w:pPr>
      <w:r>
        <w:rPr>
          <w:rFonts w:hint="eastAsia" w:eastAsia="仿宋_GB2312"/>
          <w:kern w:val="0"/>
          <w:sz w:val="32"/>
          <w:szCs w:val="32"/>
          <w:lang w:eastAsia="zh-CN"/>
        </w:rPr>
        <w:t>青年人才</w:t>
      </w:r>
      <w:r>
        <w:rPr>
          <w:rFonts w:hint="eastAsia" w:eastAsia="仿宋_GB2312"/>
          <w:kern w:val="0"/>
          <w:sz w:val="32"/>
          <w:szCs w:val="32"/>
        </w:rPr>
        <w:t>创业基金重点投向契合昆明市政策导向、具备创新潜力、有市场前景、适配创业阶段、能带动就业且贴合区域特色的项目。主要有：科技创新与数字经济（区块链、5G、大数据、人工智能等领域的早期项目）、大健康产业（医疗服务、健康产品、智慧健康等领域创新项目）、先进制造与新材料（智能装备、新能源汽车核心零部件等领域项目）、高原特色农业与乡村振兴（农产品精深加工、绿色有机农业等项目）、现代服务业（文化创意、旅游新业态、智慧物流等领域项目）等；</w:t>
      </w:r>
    </w:p>
    <w:p w14:paraId="5F78602A">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eastAsia="楷体_GB2312"/>
          <w:sz w:val="32"/>
          <w:szCs w:val="32"/>
        </w:rPr>
      </w:pPr>
      <w:r>
        <w:rPr>
          <w:rFonts w:eastAsia="楷体_GB2312"/>
          <w:sz w:val="32"/>
          <w:szCs w:val="32"/>
        </w:rPr>
        <w:t>（二）项目申请门槛</w:t>
      </w:r>
    </w:p>
    <w:p w14:paraId="5F78602B">
      <w:pPr>
        <w:keepNext w:val="0"/>
        <w:keepLines w:val="0"/>
        <w:pageBreakBefore w:val="0"/>
        <w:widowControl w:val="0"/>
        <w:kinsoku/>
        <w:wordWrap/>
        <w:overflowPunct/>
        <w:topLinePunct w:val="0"/>
        <w:autoSpaceDE/>
        <w:autoSpaceDN/>
        <w:bidi w:val="0"/>
        <w:adjustRightInd/>
        <w:snapToGrid/>
        <w:spacing w:after="0" w:line="560" w:lineRule="exact"/>
        <w:ind w:firstLine="627" w:firstLineChars="196"/>
        <w:contextualSpacing/>
        <w:textAlignment w:val="auto"/>
        <w:rPr>
          <w:rFonts w:eastAsia="仿宋_GB2312"/>
          <w:kern w:val="0"/>
          <w:sz w:val="32"/>
          <w:szCs w:val="32"/>
        </w:rPr>
      </w:pPr>
      <w:r>
        <w:rPr>
          <w:rFonts w:hint="eastAsia" w:eastAsia="仿宋_GB2312"/>
          <w:kern w:val="0"/>
          <w:sz w:val="32"/>
          <w:szCs w:val="32"/>
          <w:lang w:eastAsia="zh-CN"/>
        </w:rPr>
        <w:t>青年人才</w:t>
      </w:r>
      <w:r>
        <w:rPr>
          <w:rFonts w:eastAsia="仿宋_GB2312"/>
          <w:kern w:val="0"/>
          <w:sz w:val="32"/>
          <w:szCs w:val="32"/>
        </w:rPr>
        <w:t>创业基金的项目申请门槛分为基础门槛与专项通道：基础门槛要求申请项目拥有完整的创业计划书，具备一定创新性和可行性，且团队核心成员无失信记录</w:t>
      </w:r>
      <w:r>
        <w:rPr>
          <w:rFonts w:hint="eastAsia" w:eastAsia="仿宋_GB2312"/>
          <w:kern w:val="0"/>
          <w:sz w:val="32"/>
          <w:szCs w:val="32"/>
          <w:lang w:eastAsia="zh-CN"/>
        </w:rPr>
        <w:t>、</w:t>
      </w:r>
      <w:r>
        <w:rPr>
          <w:rFonts w:hint="default" w:eastAsia="仿宋_GB2312"/>
          <w:kern w:val="0"/>
          <w:sz w:val="32"/>
          <w:szCs w:val="32"/>
          <w:highlight w:val="none"/>
        </w:rPr>
        <w:t>未享受过同类大额创业资助</w:t>
      </w:r>
      <w:r>
        <w:rPr>
          <w:rFonts w:hint="eastAsia" w:eastAsia="仿宋_GB2312"/>
          <w:kern w:val="0"/>
          <w:sz w:val="32"/>
          <w:szCs w:val="32"/>
          <w:highlight w:val="none"/>
          <w:lang w:eastAsia="zh-CN"/>
        </w:rPr>
        <w:t>；</w:t>
      </w:r>
      <w:r>
        <w:rPr>
          <w:rFonts w:eastAsia="仿宋_GB2312"/>
          <w:kern w:val="0"/>
          <w:sz w:val="32"/>
          <w:szCs w:val="32"/>
        </w:rPr>
        <w:t>专项通道则针对科技成果转化、乡村振兴、文化创意等重点领域项目适当放宽条件，允许其凭专利证书、获奖证明等材料替代部分申请材料，降低重点领域项目的申请难度。</w:t>
      </w:r>
    </w:p>
    <w:p w14:paraId="5F78602C">
      <w:pPr>
        <w:keepNext w:val="0"/>
        <w:keepLines w:val="0"/>
        <w:pageBreakBefore w:val="0"/>
        <w:widowControl w:val="0"/>
        <w:kinsoku/>
        <w:wordWrap/>
        <w:overflowPunct/>
        <w:topLinePunct w:val="0"/>
        <w:autoSpaceDE/>
        <w:autoSpaceDN/>
        <w:bidi w:val="0"/>
        <w:adjustRightInd/>
        <w:snapToGrid/>
        <w:spacing w:after="0" w:line="560" w:lineRule="exact"/>
        <w:ind w:firstLine="603" w:firstLineChars="196"/>
        <w:contextualSpacing/>
        <w:textAlignment w:val="auto"/>
        <w:rPr>
          <w:rFonts w:hint="eastAsia" w:hAnsi="黑体" w:eastAsia="黑体"/>
          <w:spacing w:val="-6"/>
          <w:sz w:val="32"/>
          <w:szCs w:val="32"/>
        </w:rPr>
      </w:pPr>
      <w:r>
        <w:rPr>
          <w:rFonts w:hint="eastAsia" w:hAnsi="黑体" w:eastAsia="黑体"/>
          <w:spacing w:val="-6"/>
          <w:sz w:val="32"/>
          <w:szCs w:val="32"/>
        </w:rPr>
        <w:t>六、投资额度</w:t>
      </w:r>
    </w:p>
    <w:p w14:paraId="5F78602D">
      <w:pPr>
        <w:keepNext w:val="0"/>
        <w:keepLines w:val="0"/>
        <w:pageBreakBefore w:val="0"/>
        <w:widowControl w:val="0"/>
        <w:kinsoku/>
        <w:wordWrap/>
        <w:overflowPunct/>
        <w:topLinePunct w:val="0"/>
        <w:autoSpaceDE/>
        <w:autoSpaceDN/>
        <w:bidi w:val="0"/>
        <w:adjustRightInd/>
        <w:snapToGrid/>
        <w:spacing w:after="0" w:line="560" w:lineRule="exact"/>
        <w:ind w:firstLine="630"/>
        <w:textAlignment w:val="auto"/>
        <w:rPr>
          <w:rFonts w:hint="eastAsia" w:hAnsi="黑体" w:eastAsia="仿宋_GB2312"/>
          <w:color w:val="000000"/>
          <w:sz w:val="32"/>
          <w:szCs w:val="32"/>
        </w:rPr>
      </w:pPr>
      <w:r>
        <w:rPr>
          <w:rFonts w:hint="eastAsia" w:hAnsi="黑体" w:eastAsia="仿宋_GB2312"/>
          <w:color w:val="000000"/>
          <w:sz w:val="32"/>
          <w:szCs w:val="32"/>
        </w:rPr>
        <w:t>对单个项目的投资不超过当期</w:t>
      </w:r>
      <w:r>
        <w:rPr>
          <w:rFonts w:hint="eastAsia" w:hAnsi="黑体" w:eastAsia="仿宋_GB2312"/>
          <w:color w:val="000000"/>
          <w:sz w:val="32"/>
          <w:szCs w:val="32"/>
          <w:lang w:eastAsia="zh-CN"/>
        </w:rPr>
        <w:t>青年人才</w:t>
      </w:r>
      <w:r>
        <w:rPr>
          <w:rFonts w:hint="eastAsia" w:hAnsi="黑体" w:eastAsia="仿宋_GB2312"/>
          <w:color w:val="000000"/>
          <w:sz w:val="32"/>
          <w:szCs w:val="32"/>
        </w:rPr>
        <w:t>创业基金认缴总规模的</w:t>
      </w:r>
      <w:r>
        <w:rPr>
          <w:rFonts w:hint="eastAsia" w:hAnsi="黑体" w:eastAsia="仿宋_GB2312"/>
          <w:color w:val="000000"/>
          <w:sz w:val="32"/>
          <w:szCs w:val="32"/>
          <w:lang w:val="en-US" w:eastAsia="zh-CN"/>
        </w:rPr>
        <w:t>10</w:t>
      </w:r>
      <w:r>
        <w:rPr>
          <w:rFonts w:hint="eastAsia" w:hAnsi="黑体" w:eastAsia="仿宋_GB2312"/>
          <w:color w:val="000000"/>
          <w:sz w:val="32"/>
          <w:szCs w:val="32"/>
        </w:rPr>
        <w:t>%，且最高不超过100万元。不得对所投项目控股，且不为第一大股东。</w:t>
      </w:r>
    </w:p>
    <w:p w14:paraId="5F78602E">
      <w:pPr>
        <w:keepNext w:val="0"/>
        <w:keepLines w:val="0"/>
        <w:pageBreakBefore w:val="0"/>
        <w:widowControl w:val="0"/>
        <w:kinsoku/>
        <w:wordWrap/>
        <w:overflowPunct/>
        <w:topLinePunct w:val="0"/>
        <w:autoSpaceDE/>
        <w:autoSpaceDN/>
        <w:bidi w:val="0"/>
        <w:adjustRightInd/>
        <w:snapToGrid/>
        <w:spacing w:after="0" w:line="560" w:lineRule="exact"/>
        <w:ind w:firstLine="630"/>
        <w:textAlignment w:val="auto"/>
        <w:rPr>
          <w:rFonts w:hint="eastAsia" w:hAnsi="黑体" w:eastAsia="仿宋_GB2312"/>
          <w:color w:val="000000"/>
          <w:sz w:val="32"/>
          <w:szCs w:val="32"/>
        </w:rPr>
      </w:pPr>
      <w:r>
        <w:rPr>
          <w:rFonts w:hint="eastAsia" w:hAnsi="黑体" w:eastAsia="仿宋_GB2312"/>
          <w:color w:val="000000"/>
          <w:sz w:val="32"/>
          <w:szCs w:val="32"/>
        </w:rPr>
        <w:t>基金优先支持昆明市本地</w:t>
      </w:r>
      <w:r>
        <w:rPr>
          <w:rFonts w:hint="eastAsia" w:hAnsi="黑体" w:eastAsia="仿宋_GB2312"/>
          <w:color w:val="000000"/>
          <w:sz w:val="32"/>
          <w:szCs w:val="32"/>
          <w:lang w:eastAsia="zh-CN"/>
        </w:rPr>
        <w:t>青年人才</w:t>
      </w:r>
      <w:r>
        <w:rPr>
          <w:rFonts w:hint="eastAsia" w:hAnsi="黑体" w:eastAsia="仿宋_GB2312"/>
          <w:color w:val="000000"/>
          <w:sz w:val="32"/>
          <w:szCs w:val="32"/>
        </w:rPr>
        <w:t>创业项目，或外地</w:t>
      </w:r>
      <w:r>
        <w:rPr>
          <w:rFonts w:hint="eastAsia" w:hAnsi="黑体" w:eastAsia="仿宋_GB2312"/>
          <w:color w:val="000000"/>
          <w:sz w:val="32"/>
          <w:szCs w:val="32"/>
          <w:lang w:eastAsia="zh-CN"/>
        </w:rPr>
        <w:t>青年人才</w:t>
      </w:r>
      <w:r>
        <w:rPr>
          <w:rFonts w:hint="eastAsia" w:hAnsi="黑体" w:eastAsia="仿宋_GB2312"/>
          <w:color w:val="000000"/>
          <w:sz w:val="32"/>
          <w:szCs w:val="32"/>
        </w:rPr>
        <w:t>在昆明市注册开展的创业项目。被投项目获得基金投资后，应优先在昆明市行政区域内持续开展核心经营活动；若因业务发展确需调整注册地或核心经营区域，需提前与基金管理人充分协商，按照投资协议约定履行相应程序并承担相关责任（如股权回购、收益补偿等）。</w:t>
      </w:r>
    </w:p>
    <w:p w14:paraId="5F78602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方正仿宋_GBK"/>
          <w:sz w:val="32"/>
          <w:szCs w:val="32"/>
        </w:rPr>
      </w:pPr>
      <w:r>
        <w:rPr>
          <w:rFonts w:hint="eastAsia" w:hAnsi="黑体" w:eastAsia="黑体"/>
          <w:sz w:val="32"/>
          <w:szCs w:val="32"/>
        </w:rPr>
        <w:t>七</w:t>
      </w:r>
      <w:r>
        <w:rPr>
          <w:rFonts w:hAnsi="黑体" w:eastAsia="黑体"/>
          <w:sz w:val="32"/>
          <w:szCs w:val="32"/>
        </w:rPr>
        <w:t>、基金期限</w:t>
      </w:r>
    </w:p>
    <w:p w14:paraId="5F78603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sz w:val="32"/>
          <w:szCs w:val="32"/>
        </w:rPr>
      </w:pPr>
      <w:r>
        <w:rPr>
          <w:rFonts w:hint="eastAsia" w:eastAsia="仿宋_GB2312"/>
          <w:sz w:val="32"/>
          <w:szCs w:val="32"/>
          <w:lang w:val="en-US" w:eastAsia="zh-CN"/>
        </w:rPr>
        <w:t>基金存续期限为“5+2+1”年，投资期5年（自备案日起），退出期2年，延长期1年。</w:t>
      </w:r>
    </w:p>
    <w:p w14:paraId="5F786031">
      <w:pPr>
        <w:keepNext w:val="0"/>
        <w:keepLines w:val="0"/>
        <w:pageBreakBefore w:val="0"/>
        <w:widowControl w:val="0"/>
        <w:kinsoku/>
        <w:wordWrap/>
        <w:overflowPunct/>
        <w:topLinePunct w:val="0"/>
        <w:autoSpaceDE/>
        <w:autoSpaceDN/>
        <w:bidi w:val="0"/>
        <w:adjustRightInd/>
        <w:snapToGrid/>
        <w:spacing w:after="0" w:line="560" w:lineRule="exact"/>
        <w:ind w:firstLine="627" w:firstLineChars="196"/>
        <w:contextualSpacing/>
        <w:textAlignment w:val="auto"/>
        <w:rPr>
          <w:rFonts w:eastAsia="黑体"/>
          <w:sz w:val="32"/>
          <w:szCs w:val="32"/>
        </w:rPr>
      </w:pPr>
      <w:r>
        <w:rPr>
          <w:rFonts w:hint="eastAsia" w:hAnsi="黑体" w:eastAsia="黑体"/>
          <w:sz w:val="32"/>
          <w:szCs w:val="32"/>
        </w:rPr>
        <w:t>八</w:t>
      </w:r>
      <w:r>
        <w:rPr>
          <w:rFonts w:hAnsi="黑体" w:eastAsia="黑体"/>
          <w:sz w:val="32"/>
          <w:szCs w:val="32"/>
        </w:rPr>
        <w:t>、决策机制</w:t>
      </w:r>
    </w:p>
    <w:p w14:paraId="5F786032">
      <w:pPr>
        <w:keepNext w:val="0"/>
        <w:keepLines w:val="0"/>
        <w:pageBreakBefore w:val="0"/>
        <w:widowControl w:val="0"/>
        <w:kinsoku/>
        <w:wordWrap/>
        <w:overflowPunct/>
        <w:topLinePunct w:val="0"/>
        <w:autoSpaceDE/>
        <w:autoSpaceDN/>
        <w:bidi w:val="0"/>
        <w:adjustRightInd/>
        <w:snapToGrid/>
        <w:spacing w:after="0" w:line="560" w:lineRule="exact"/>
        <w:ind w:firstLine="627" w:firstLineChars="196"/>
        <w:contextualSpacing/>
        <w:textAlignment w:val="auto"/>
        <w:rPr>
          <w:rFonts w:eastAsia="仿宋_GB2312"/>
          <w:sz w:val="32"/>
          <w:szCs w:val="32"/>
        </w:rPr>
      </w:pPr>
      <w:r>
        <w:rPr>
          <w:rFonts w:hint="eastAsia" w:eastAsia="仿宋_GB2312"/>
          <w:sz w:val="32"/>
          <w:szCs w:val="32"/>
        </w:rPr>
        <w:t>基金设投资决策委员会，行使投资决策权。投资决策委员会由5名委员组成，其中LP委派2名，GP委派2名，行业主管部门委派1名。投资决策委员会应以现场会议形式或投委会成员认可的其他形式（如电话会议、视频会议、网络会议等）讨论、决定有关事项，并按1人1票制表决。投资决策委员会会议每次应由5名成员出席方为有效</w:t>
      </w:r>
      <w:r>
        <w:rPr>
          <w:rFonts w:hint="eastAsia" w:eastAsia="仿宋_GB2312"/>
          <w:sz w:val="32"/>
          <w:szCs w:val="32"/>
          <w:lang w:eastAsia="zh-CN"/>
        </w:rPr>
        <w:t>，</w:t>
      </w:r>
      <w:r>
        <w:rPr>
          <w:rFonts w:hint="eastAsia" w:eastAsia="仿宋_GB2312"/>
          <w:sz w:val="32"/>
          <w:szCs w:val="32"/>
        </w:rPr>
        <w:t xml:space="preserve"> 由有表决权的投资决策委员会委员（扣除需回避的人数）三分之二（含）以上同意方为通过。行业主管部门对违反现行监管政策中明确禁止的投资领域及禁止开展的业务可行使一票否决权，并可提名委派若干观察员。观察员享有列席投资决策委员会会议的权利，以及知情权、监督权和建议权，不参与表决。</w:t>
      </w:r>
    </w:p>
    <w:p w14:paraId="5F786033">
      <w:pPr>
        <w:keepNext w:val="0"/>
        <w:keepLines w:val="0"/>
        <w:pageBreakBefore w:val="0"/>
        <w:widowControl w:val="0"/>
        <w:kinsoku/>
        <w:wordWrap/>
        <w:overflowPunct/>
        <w:topLinePunct w:val="0"/>
        <w:autoSpaceDE/>
        <w:autoSpaceDN/>
        <w:bidi w:val="0"/>
        <w:adjustRightInd/>
        <w:snapToGrid/>
        <w:spacing w:after="0" w:line="560" w:lineRule="exact"/>
        <w:ind w:firstLine="627" w:firstLineChars="196"/>
        <w:contextualSpacing/>
        <w:textAlignment w:val="auto"/>
        <w:rPr>
          <w:rFonts w:eastAsia="黑体"/>
          <w:sz w:val="32"/>
          <w:szCs w:val="32"/>
        </w:rPr>
      </w:pPr>
      <w:r>
        <w:rPr>
          <w:rFonts w:hint="eastAsia" w:hAnsi="黑体" w:eastAsia="黑体"/>
          <w:sz w:val="32"/>
          <w:szCs w:val="32"/>
        </w:rPr>
        <w:t>九</w:t>
      </w:r>
      <w:r>
        <w:rPr>
          <w:rFonts w:hAnsi="黑体" w:eastAsia="黑体"/>
          <w:sz w:val="32"/>
          <w:szCs w:val="32"/>
        </w:rPr>
        <w:t>、基金管理</w:t>
      </w:r>
    </w:p>
    <w:p w14:paraId="5F78603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sz w:val="32"/>
          <w:szCs w:val="32"/>
        </w:rPr>
      </w:pPr>
      <w:r>
        <w:rPr>
          <w:rFonts w:hint="eastAsia" w:eastAsia="仿宋_GB2312"/>
          <w:sz w:val="32"/>
          <w:szCs w:val="32"/>
        </w:rPr>
        <w:t>为规范</w:t>
      </w:r>
      <w:r>
        <w:rPr>
          <w:rFonts w:hint="eastAsia" w:eastAsia="仿宋_GB2312"/>
          <w:sz w:val="32"/>
          <w:szCs w:val="32"/>
          <w:lang w:eastAsia="zh-CN"/>
        </w:rPr>
        <w:t>青年人才</w:t>
      </w:r>
      <w:r>
        <w:rPr>
          <w:rFonts w:hint="eastAsia" w:eastAsia="仿宋_GB2312"/>
          <w:sz w:val="32"/>
          <w:szCs w:val="32"/>
        </w:rPr>
        <w:t>创</w:t>
      </w:r>
      <w:r>
        <w:rPr>
          <w:rFonts w:hint="eastAsia" w:eastAsia="仿宋_GB2312"/>
          <w:sz w:val="32"/>
          <w:szCs w:val="32"/>
          <w:lang w:val="en-US" w:eastAsia="zh-CN"/>
        </w:rPr>
        <w:t>投</w:t>
      </w:r>
      <w:r>
        <w:rPr>
          <w:rFonts w:hint="eastAsia" w:eastAsia="仿宋_GB2312"/>
          <w:sz w:val="32"/>
          <w:szCs w:val="32"/>
        </w:rPr>
        <w:t>基金市场化运作模式，由市金融管理局</w:t>
      </w:r>
      <w:r>
        <w:rPr>
          <w:rFonts w:hint="eastAsia" w:eastAsia="仿宋_GB2312"/>
          <w:sz w:val="32"/>
          <w:szCs w:val="32"/>
          <w:lang w:eastAsia="zh-CN"/>
        </w:rPr>
        <w:t>、</w:t>
      </w:r>
      <w:r>
        <w:rPr>
          <w:rFonts w:hint="eastAsia" w:eastAsia="仿宋_GB2312"/>
          <w:sz w:val="32"/>
          <w:szCs w:val="32"/>
          <w:lang w:val="en-US" w:eastAsia="zh-CN"/>
        </w:rPr>
        <w:t>行业主管部门</w:t>
      </w:r>
      <w:r>
        <w:rPr>
          <w:rFonts w:hint="eastAsia" w:eastAsia="仿宋_GB2312"/>
          <w:sz w:val="32"/>
          <w:szCs w:val="32"/>
        </w:rPr>
        <w:t>指导</w:t>
      </w:r>
      <w:r>
        <w:rPr>
          <w:rFonts w:hint="eastAsia" w:eastAsia="仿宋_GB2312"/>
          <w:sz w:val="32"/>
          <w:szCs w:val="32"/>
          <w:highlight w:val="none"/>
          <w:lang w:val="en-US" w:eastAsia="zh-CN"/>
        </w:rPr>
        <w:t>滇域资本</w:t>
      </w:r>
      <w:r>
        <w:rPr>
          <w:rFonts w:hint="eastAsia" w:eastAsia="仿宋_GB2312"/>
          <w:sz w:val="32"/>
          <w:szCs w:val="32"/>
          <w:highlight w:val="none"/>
        </w:rPr>
        <w:t>，</w:t>
      </w:r>
      <w:r>
        <w:rPr>
          <w:rFonts w:hint="eastAsia" w:eastAsia="仿宋_GB2312"/>
          <w:sz w:val="32"/>
          <w:szCs w:val="32"/>
        </w:rPr>
        <w:t>按本方案第四条明确的方式确定基金管理人。</w:t>
      </w:r>
    </w:p>
    <w:p w14:paraId="5F78603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hAnsi="黑体" w:eastAsia="黑体"/>
          <w:color w:val="EE0000"/>
          <w:sz w:val="32"/>
          <w:szCs w:val="32"/>
        </w:rPr>
      </w:pPr>
      <w:r>
        <w:rPr>
          <w:rFonts w:hint="eastAsia" w:eastAsia="仿宋_GB2312"/>
          <w:sz w:val="32"/>
          <w:szCs w:val="32"/>
        </w:rPr>
        <w:t>基金管理费以实缴出资或实际投资金额为计费基础，鉴于</w:t>
      </w:r>
      <w:r>
        <w:rPr>
          <w:rFonts w:hint="eastAsia" w:eastAsia="仿宋_GB2312"/>
          <w:sz w:val="32"/>
          <w:szCs w:val="32"/>
          <w:lang w:eastAsia="zh-CN"/>
        </w:rPr>
        <w:t>青年人才</w:t>
      </w:r>
      <w:r>
        <w:rPr>
          <w:rFonts w:hint="eastAsia" w:eastAsia="仿宋_GB2312"/>
          <w:sz w:val="32"/>
          <w:szCs w:val="32"/>
        </w:rPr>
        <w:t>创业项目风险较高、亏损概率较大，为覆盖管理人运营成本、提升专业机构参与积极性，年管理费可合理确定为不超过实缴出资或实</w:t>
      </w:r>
      <w:r>
        <w:rPr>
          <w:rFonts w:hint="eastAsia" w:eastAsia="仿宋_GB2312"/>
          <w:color w:val="auto"/>
          <w:sz w:val="32"/>
          <w:szCs w:val="32"/>
        </w:rPr>
        <w:t>际投资金额的3%。</w:t>
      </w:r>
    </w:p>
    <w:p w14:paraId="5F786036">
      <w:pPr>
        <w:keepNext w:val="0"/>
        <w:keepLines w:val="0"/>
        <w:pageBreakBefore w:val="0"/>
        <w:widowControl w:val="0"/>
        <w:kinsoku/>
        <w:wordWrap/>
        <w:overflowPunct/>
        <w:topLinePunct w:val="0"/>
        <w:autoSpaceDE/>
        <w:autoSpaceDN/>
        <w:bidi w:val="0"/>
        <w:adjustRightInd/>
        <w:snapToGrid/>
        <w:spacing w:after="0" w:line="560" w:lineRule="exact"/>
        <w:ind w:firstLine="627" w:firstLineChars="196"/>
        <w:contextualSpacing/>
        <w:textAlignment w:val="auto"/>
        <w:rPr>
          <w:rFonts w:hint="eastAsia" w:hAnsi="黑体" w:eastAsia="黑体"/>
          <w:sz w:val="32"/>
          <w:szCs w:val="32"/>
        </w:rPr>
      </w:pPr>
      <w:r>
        <w:rPr>
          <w:rFonts w:hAnsi="黑体" w:eastAsia="黑体"/>
          <w:sz w:val="32"/>
          <w:szCs w:val="32"/>
        </w:rPr>
        <w:t>十、基金收益分成及损益分担机制</w:t>
      </w:r>
    </w:p>
    <w:p w14:paraId="5F786037">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eastAsia="仿宋_GB2312"/>
          <w:sz w:val="32"/>
          <w:szCs w:val="32"/>
        </w:rPr>
      </w:pPr>
      <w:r>
        <w:rPr>
          <w:rFonts w:eastAsia="楷体_GB2312"/>
          <w:sz w:val="32"/>
          <w:szCs w:val="32"/>
        </w:rPr>
        <w:t>（一）基金收益分成</w:t>
      </w:r>
    </w:p>
    <w:p w14:paraId="5F786038">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eastAsia="仿宋_GB2312"/>
          <w:sz w:val="32"/>
          <w:szCs w:val="32"/>
        </w:rPr>
      </w:pPr>
      <w:r>
        <w:rPr>
          <w:rFonts w:eastAsia="仿宋_GB2312"/>
          <w:sz w:val="32"/>
          <w:szCs w:val="32"/>
        </w:rPr>
        <w:t>基金分配遵循</w:t>
      </w:r>
      <w:r>
        <w:rPr>
          <w:rFonts w:hint="eastAsia" w:eastAsia="仿宋_GB2312"/>
          <w:sz w:val="32"/>
          <w:szCs w:val="32"/>
        </w:rPr>
        <w:t>“</w:t>
      </w:r>
      <w:r>
        <w:rPr>
          <w:rFonts w:eastAsia="仿宋_GB2312"/>
          <w:sz w:val="32"/>
          <w:szCs w:val="32"/>
        </w:rPr>
        <w:t>利益共享、风险共担</w:t>
      </w:r>
      <w:r>
        <w:rPr>
          <w:rFonts w:hint="eastAsia" w:eastAsia="仿宋_GB2312"/>
          <w:sz w:val="32"/>
          <w:szCs w:val="32"/>
        </w:rPr>
        <w:t>、</w:t>
      </w:r>
      <w:r>
        <w:rPr>
          <w:rFonts w:eastAsia="仿宋_GB2312"/>
          <w:sz w:val="32"/>
          <w:szCs w:val="32"/>
        </w:rPr>
        <w:t>整体分配、先本后利</w:t>
      </w:r>
      <w:r>
        <w:rPr>
          <w:rFonts w:hint="eastAsia" w:eastAsia="仿宋_GB2312"/>
          <w:sz w:val="32"/>
          <w:szCs w:val="32"/>
        </w:rPr>
        <w:t>”</w:t>
      </w:r>
      <w:r>
        <w:rPr>
          <w:rFonts w:eastAsia="仿宋_GB2312"/>
          <w:sz w:val="32"/>
          <w:szCs w:val="32"/>
        </w:rPr>
        <w:t>原则，</w:t>
      </w:r>
      <w:r>
        <w:rPr>
          <w:rFonts w:hint="eastAsia" w:eastAsia="仿宋_GB2312"/>
          <w:sz w:val="32"/>
          <w:szCs w:val="32"/>
        </w:rPr>
        <w:t>基金存续期满后进行整体分配，先分配本金，</w:t>
      </w:r>
      <w:r>
        <w:rPr>
          <w:rFonts w:eastAsia="仿宋_GB2312"/>
          <w:sz w:val="32"/>
          <w:szCs w:val="32"/>
        </w:rPr>
        <w:t>基金整体收益达到</w:t>
      </w:r>
      <w:r>
        <w:rPr>
          <w:rFonts w:hint="eastAsia" w:eastAsia="仿宋_GB2312"/>
          <w:sz w:val="32"/>
          <w:szCs w:val="32"/>
        </w:rPr>
        <w:t>6</w:t>
      </w:r>
      <w:r>
        <w:rPr>
          <w:rFonts w:eastAsia="仿宋_GB2312"/>
          <w:sz w:val="32"/>
          <w:szCs w:val="32"/>
        </w:rPr>
        <w:t>%/年后，超出部分的20%分配给基金管理人作为管理报酬，其余80%的收益按照各出资人实缴出资比例分配。基金整体收益未达到</w:t>
      </w:r>
      <w:r>
        <w:rPr>
          <w:rFonts w:hint="eastAsia" w:eastAsia="仿宋_GB2312"/>
          <w:sz w:val="32"/>
          <w:szCs w:val="32"/>
        </w:rPr>
        <w:t>6</w:t>
      </w:r>
      <w:r>
        <w:rPr>
          <w:rFonts w:eastAsia="仿宋_GB2312"/>
          <w:sz w:val="32"/>
          <w:szCs w:val="32"/>
        </w:rPr>
        <w:t>%/年的，则收益部分全部由基金出资人按各自实缴出资比例分配。</w:t>
      </w:r>
    </w:p>
    <w:p w14:paraId="5F786039">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eastAsia="楷体_GB2312"/>
          <w:sz w:val="32"/>
          <w:szCs w:val="32"/>
        </w:rPr>
      </w:pPr>
      <w:r>
        <w:rPr>
          <w:rFonts w:hint="eastAsia" w:eastAsia="楷体_GB2312"/>
          <w:sz w:val="32"/>
          <w:szCs w:val="32"/>
        </w:rPr>
        <w:t>（二）损益分担</w:t>
      </w:r>
    </w:p>
    <w:p w14:paraId="5F78603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kern w:val="0"/>
          <w:sz w:val="32"/>
          <w:szCs w:val="32"/>
        </w:rPr>
      </w:pPr>
      <w:r>
        <w:rPr>
          <w:rFonts w:eastAsia="仿宋_GB2312"/>
          <w:kern w:val="0"/>
          <w:sz w:val="32"/>
          <w:szCs w:val="32"/>
        </w:rPr>
        <w:t>遵循基金投资运作客观规律，充分包容</w:t>
      </w:r>
      <w:r>
        <w:rPr>
          <w:rFonts w:hint="eastAsia" w:eastAsia="仿宋_GB2312"/>
          <w:kern w:val="0"/>
          <w:sz w:val="32"/>
          <w:szCs w:val="32"/>
          <w:lang w:eastAsia="zh-CN"/>
        </w:rPr>
        <w:t>青年人才</w:t>
      </w:r>
      <w:r>
        <w:rPr>
          <w:rFonts w:eastAsia="仿宋_GB2312"/>
          <w:kern w:val="0"/>
          <w:sz w:val="32"/>
          <w:szCs w:val="32"/>
        </w:rPr>
        <w:t>创业项目的正常投资风险，不以单一项目投资损失作为追责依据，建立健全尽职免责机制</w:t>
      </w:r>
      <w:r>
        <w:rPr>
          <w:rFonts w:hint="eastAsia" w:eastAsia="仿宋_GB2312"/>
          <w:kern w:val="0"/>
          <w:sz w:val="32"/>
          <w:szCs w:val="32"/>
        </w:rPr>
        <w:t>。</w:t>
      </w:r>
      <w:r>
        <w:rPr>
          <w:rFonts w:hint="eastAsia" w:eastAsia="仿宋_GB2312"/>
          <w:kern w:val="0"/>
          <w:sz w:val="32"/>
          <w:szCs w:val="32"/>
          <w:lang w:val="en-US" w:eastAsia="zh-CN"/>
        </w:rPr>
        <w:t>对</w:t>
      </w:r>
      <w:r>
        <w:rPr>
          <w:rFonts w:eastAsia="仿宋_GB2312"/>
          <w:kern w:val="0"/>
          <w:sz w:val="32"/>
          <w:szCs w:val="32"/>
        </w:rPr>
        <w:t>投资种子期</w:t>
      </w:r>
      <w:r>
        <w:rPr>
          <w:rFonts w:hint="eastAsia" w:eastAsia="仿宋_GB2312"/>
          <w:kern w:val="0"/>
          <w:sz w:val="32"/>
          <w:szCs w:val="32"/>
        </w:rPr>
        <w:t>、天使期、未来产业的</w:t>
      </w:r>
      <w:r>
        <w:rPr>
          <w:rFonts w:eastAsia="仿宋_GB2312"/>
          <w:kern w:val="0"/>
          <w:sz w:val="32"/>
          <w:szCs w:val="32"/>
        </w:rPr>
        <w:t>企业</w:t>
      </w:r>
      <w:r>
        <w:rPr>
          <w:rFonts w:hint="eastAsia" w:eastAsia="仿宋_GB2312"/>
          <w:kern w:val="0"/>
          <w:sz w:val="32"/>
          <w:szCs w:val="32"/>
          <w:lang w:eastAsia="zh-CN"/>
        </w:rPr>
        <w:t>，</w:t>
      </w:r>
      <w:r>
        <w:rPr>
          <w:rFonts w:hint="eastAsia" w:eastAsia="仿宋_GB2312"/>
          <w:kern w:val="0"/>
          <w:sz w:val="32"/>
          <w:szCs w:val="32"/>
        </w:rPr>
        <w:t>可根据项目实际情况，在履行内部严格决策程序并充分论证的基础上，设定差异化的风险容忍机制</w:t>
      </w:r>
      <w:r>
        <w:rPr>
          <w:rFonts w:hint="eastAsia" w:eastAsia="仿宋_GB2312"/>
          <w:kern w:val="0"/>
          <w:sz w:val="32"/>
          <w:szCs w:val="32"/>
          <w:lang w:eastAsia="zh-CN"/>
        </w:rPr>
        <w:t>；</w:t>
      </w:r>
      <w:r>
        <w:rPr>
          <w:rFonts w:eastAsia="仿宋_GB2312"/>
          <w:kern w:val="0"/>
          <w:sz w:val="32"/>
          <w:szCs w:val="32"/>
        </w:rPr>
        <w:t>投资初创期、成长期企业的投资损失容忍率不超过60%</w:t>
      </w:r>
      <w:r>
        <w:rPr>
          <w:rFonts w:hint="eastAsia" w:eastAsia="仿宋_GB2312"/>
          <w:kern w:val="0"/>
          <w:sz w:val="32"/>
          <w:szCs w:val="32"/>
        </w:rPr>
        <w:t>。</w:t>
      </w:r>
    </w:p>
    <w:p w14:paraId="5F78603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kern w:val="0"/>
          <w:sz w:val="32"/>
          <w:szCs w:val="32"/>
        </w:rPr>
      </w:pPr>
      <w:r>
        <w:rPr>
          <w:rFonts w:eastAsia="仿宋_GB2312"/>
          <w:kern w:val="0"/>
          <w:sz w:val="32"/>
          <w:szCs w:val="32"/>
        </w:rPr>
        <w:t>对投资失败的项目实行“责任豁免”，评估重点从商业结果转向团队在项目运作过程中的学习成长能力（包括问题解决、经验积累、模式优化等维度），鼓励团队积极探索、大胆试错</w:t>
      </w:r>
      <w:r>
        <w:rPr>
          <w:rFonts w:hint="eastAsia" w:eastAsia="仿宋_GB2312"/>
          <w:kern w:val="0"/>
          <w:sz w:val="32"/>
          <w:szCs w:val="32"/>
        </w:rPr>
        <w:t>。但</w:t>
      </w:r>
      <w:r>
        <w:rPr>
          <w:rFonts w:eastAsia="仿宋_GB2312"/>
          <w:kern w:val="0"/>
          <w:sz w:val="32"/>
          <w:szCs w:val="32"/>
        </w:rPr>
        <w:t>因弄虚作假等违规行为导致的损失，依法追究相关责任人责任并追偿损失。</w:t>
      </w:r>
    </w:p>
    <w:p w14:paraId="5F78603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kern w:val="0"/>
          <w:sz w:val="32"/>
          <w:szCs w:val="32"/>
        </w:rPr>
      </w:pPr>
      <w:r>
        <w:rPr>
          <w:rFonts w:eastAsia="仿宋_GB2312"/>
          <w:kern w:val="0"/>
          <w:sz w:val="32"/>
          <w:szCs w:val="32"/>
        </w:rPr>
        <w:t>若基金清算时产生亏损，</w:t>
      </w:r>
      <w:r>
        <w:rPr>
          <w:rFonts w:hint="eastAsia" w:eastAsia="仿宋_GB2312"/>
          <w:kern w:val="0"/>
          <w:sz w:val="32"/>
          <w:szCs w:val="32"/>
        </w:rPr>
        <w:t>普通合伙人对合伙企业债务承担无限连带责任，有限合伙人以其认缴的出资额为限对合伙企业债务承担责任</w:t>
      </w:r>
      <w:r>
        <w:rPr>
          <w:rFonts w:eastAsia="仿宋_GB2312"/>
          <w:kern w:val="0"/>
          <w:sz w:val="32"/>
          <w:szCs w:val="32"/>
        </w:rPr>
        <w:t>。</w:t>
      </w:r>
    </w:p>
    <w:p w14:paraId="5F78603D">
      <w:pPr>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让利机制</w:t>
      </w:r>
    </w:p>
    <w:p w14:paraId="2744EC2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eastAsia="仿宋_GB2312"/>
          <w:kern w:val="0"/>
          <w:sz w:val="32"/>
          <w:szCs w:val="32"/>
          <w:lang w:val="en-US" w:eastAsia="zh-CN"/>
        </w:rPr>
      </w:pPr>
      <w:r>
        <w:rPr>
          <w:rFonts w:hint="eastAsia" w:eastAsia="仿宋_GB2312"/>
          <w:sz w:val="32"/>
          <w:szCs w:val="32"/>
        </w:rPr>
        <w:t>初创期、成长期项目通过</w:t>
      </w:r>
      <w:r>
        <w:rPr>
          <w:rFonts w:eastAsia="仿宋_GB2312"/>
          <w:sz w:val="32"/>
          <w:szCs w:val="32"/>
        </w:rPr>
        <w:t>A轮</w:t>
      </w:r>
      <w:r>
        <w:rPr>
          <w:rFonts w:hint="eastAsia" w:eastAsia="仿宋_GB2312"/>
          <w:sz w:val="32"/>
          <w:szCs w:val="32"/>
        </w:rPr>
        <w:t>/天使轮</w:t>
      </w:r>
      <w:r>
        <w:rPr>
          <w:rFonts w:eastAsia="仿宋_GB2312"/>
          <w:sz w:val="32"/>
          <w:szCs w:val="32"/>
        </w:rPr>
        <w:t>转让的优质项目，基金可适当让利给创始人，具体方式另行确定</w:t>
      </w:r>
      <w:r>
        <w:rPr>
          <w:rFonts w:hint="eastAsia" w:eastAsia="仿宋_GB2312"/>
          <w:sz w:val="32"/>
          <w:szCs w:val="32"/>
          <w:lang w:eastAsia="zh-CN"/>
        </w:rPr>
        <w:t>。</w:t>
      </w:r>
    </w:p>
    <w:p w14:paraId="5F78603F">
      <w:pPr>
        <w:keepNext w:val="0"/>
        <w:keepLines w:val="0"/>
        <w:pageBreakBefore w:val="0"/>
        <w:widowControl w:val="0"/>
        <w:kinsoku/>
        <w:wordWrap/>
        <w:overflowPunct/>
        <w:topLinePunct w:val="0"/>
        <w:autoSpaceDE/>
        <w:autoSpaceDN/>
        <w:bidi w:val="0"/>
        <w:adjustRightInd/>
        <w:snapToGrid/>
        <w:spacing w:after="0" w:line="560" w:lineRule="exact"/>
        <w:ind w:firstLine="627" w:firstLineChars="196"/>
        <w:contextualSpacing/>
        <w:textAlignment w:val="auto"/>
        <w:rPr>
          <w:rFonts w:eastAsia="黑体"/>
          <w:sz w:val="32"/>
          <w:szCs w:val="32"/>
        </w:rPr>
      </w:pPr>
      <w:r>
        <w:rPr>
          <w:rFonts w:hAnsi="黑体" w:eastAsia="黑体"/>
          <w:sz w:val="32"/>
          <w:szCs w:val="32"/>
        </w:rPr>
        <w:t>十</w:t>
      </w:r>
      <w:r>
        <w:rPr>
          <w:rFonts w:hint="eastAsia" w:hAnsi="黑体" w:eastAsia="黑体"/>
          <w:sz w:val="32"/>
          <w:szCs w:val="32"/>
        </w:rPr>
        <w:t>一</w:t>
      </w:r>
      <w:r>
        <w:rPr>
          <w:rFonts w:hAnsi="黑体" w:eastAsia="黑体"/>
          <w:sz w:val="32"/>
          <w:szCs w:val="32"/>
        </w:rPr>
        <w:t>、基金托管</w:t>
      </w:r>
    </w:p>
    <w:p w14:paraId="5F78604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sz w:val="32"/>
          <w:szCs w:val="32"/>
        </w:rPr>
      </w:pPr>
      <w:r>
        <w:rPr>
          <w:rFonts w:eastAsia="仿宋_GB2312"/>
          <w:sz w:val="32"/>
          <w:szCs w:val="32"/>
        </w:rPr>
        <w:t>由具有托管资格的商业银行实施托管，负责对基金进行动态监管，负责资金保管、拨付、结算等，并定期出具监管报告。</w:t>
      </w:r>
    </w:p>
    <w:p w14:paraId="5F786041">
      <w:pPr>
        <w:keepNext w:val="0"/>
        <w:keepLines w:val="0"/>
        <w:pageBreakBefore w:val="0"/>
        <w:widowControl w:val="0"/>
        <w:kinsoku/>
        <w:wordWrap/>
        <w:overflowPunct/>
        <w:topLinePunct w:val="0"/>
        <w:autoSpaceDE/>
        <w:autoSpaceDN/>
        <w:bidi w:val="0"/>
        <w:adjustRightInd/>
        <w:snapToGrid/>
        <w:spacing w:after="0" w:line="560" w:lineRule="exact"/>
        <w:ind w:firstLine="627" w:firstLineChars="196"/>
        <w:contextualSpacing/>
        <w:textAlignment w:val="auto"/>
        <w:rPr>
          <w:rFonts w:eastAsia="黑体"/>
          <w:sz w:val="32"/>
          <w:szCs w:val="32"/>
        </w:rPr>
      </w:pPr>
      <w:r>
        <w:rPr>
          <w:rFonts w:hAnsi="黑体" w:eastAsia="黑体"/>
          <w:sz w:val="32"/>
          <w:szCs w:val="32"/>
        </w:rPr>
        <w:t>十</w:t>
      </w:r>
      <w:r>
        <w:rPr>
          <w:rFonts w:hint="eastAsia" w:hAnsi="黑体" w:eastAsia="黑体"/>
          <w:sz w:val="32"/>
          <w:szCs w:val="32"/>
        </w:rPr>
        <w:t>二</w:t>
      </w:r>
      <w:r>
        <w:rPr>
          <w:rFonts w:hAnsi="黑体" w:eastAsia="黑体"/>
          <w:sz w:val="32"/>
          <w:szCs w:val="32"/>
        </w:rPr>
        <w:t>、风险防范</w:t>
      </w:r>
    </w:p>
    <w:p w14:paraId="5F78604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sz w:val="32"/>
          <w:szCs w:val="32"/>
        </w:rPr>
      </w:pPr>
      <w:r>
        <w:rPr>
          <w:rFonts w:eastAsia="仿宋_GB2312"/>
          <w:sz w:val="32"/>
          <w:szCs w:val="32"/>
        </w:rPr>
        <w:t>（一）基金管理机构严格按照中国证监会和中国证券投资基金业协会要求建立基金风控体系和制度，不得用于融资、担保、股票</w:t>
      </w:r>
      <w:r>
        <w:rPr>
          <w:rFonts w:hint="eastAsia" w:eastAsia="仿宋_GB2312"/>
          <w:sz w:val="32"/>
          <w:szCs w:val="32"/>
        </w:rPr>
        <w:t>（上市公司非公开发行的股票除外）</w:t>
      </w:r>
      <w:r>
        <w:rPr>
          <w:rFonts w:eastAsia="仿宋_GB2312"/>
          <w:sz w:val="32"/>
          <w:szCs w:val="32"/>
        </w:rPr>
        <w:t>、期货、房地产、AAA级以下企业债券、金融衍生品等投资，以及国家法律法规禁止从事的业务，不得挪作他用。未经基金投资决策委员会批准，不得对外赞助、捐赠。</w:t>
      </w:r>
    </w:p>
    <w:p w14:paraId="5F78604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仿宋_GB2312"/>
          <w:sz w:val="32"/>
          <w:szCs w:val="32"/>
        </w:rPr>
      </w:pPr>
      <w:r>
        <w:rPr>
          <w:rFonts w:eastAsia="仿宋_GB2312"/>
          <w:sz w:val="32"/>
          <w:szCs w:val="32"/>
        </w:rPr>
        <w:t>（二）基金投资决策委员会委托第三方中介机构依法对基金管理人进行审计，必要时进行相关的延伸审计。</w:t>
      </w:r>
    </w:p>
    <w:p w14:paraId="5F786044">
      <w:pPr>
        <w:keepNext w:val="0"/>
        <w:keepLines w:val="0"/>
        <w:pageBreakBefore w:val="0"/>
        <w:widowControl w:val="0"/>
        <w:kinsoku/>
        <w:wordWrap/>
        <w:overflowPunct/>
        <w:topLinePunct w:val="0"/>
        <w:autoSpaceDE/>
        <w:autoSpaceDN/>
        <w:bidi w:val="0"/>
        <w:adjustRightInd/>
        <w:snapToGrid/>
        <w:spacing w:after="0" w:line="560" w:lineRule="exact"/>
        <w:ind w:firstLine="627" w:firstLineChars="196"/>
        <w:contextualSpacing/>
        <w:textAlignment w:val="auto"/>
        <w:rPr>
          <w:rFonts w:eastAsia="黑体"/>
          <w:sz w:val="32"/>
          <w:szCs w:val="32"/>
        </w:rPr>
      </w:pPr>
      <w:r>
        <w:rPr>
          <w:rFonts w:hAnsi="黑体" w:eastAsia="黑体"/>
          <w:sz w:val="32"/>
          <w:szCs w:val="32"/>
        </w:rPr>
        <w:t>十</w:t>
      </w:r>
      <w:r>
        <w:rPr>
          <w:rFonts w:hint="eastAsia" w:hAnsi="黑体" w:eastAsia="黑体"/>
          <w:sz w:val="32"/>
          <w:szCs w:val="32"/>
        </w:rPr>
        <w:t>三</w:t>
      </w:r>
      <w:r>
        <w:rPr>
          <w:rFonts w:hAnsi="黑体" w:eastAsia="黑体"/>
          <w:sz w:val="32"/>
          <w:szCs w:val="32"/>
        </w:rPr>
        <w:t>、投资退出</w:t>
      </w:r>
    </w:p>
    <w:p w14:paraId="5F78604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楷体_GB2312"/>
          <w:sz w:val="32"/>
          <w:szCs w:val="32"/>
        </w:rPr>
      </w:pPr>
      <w:r>
        <w:rPr>
          <w:rFonts w:hint="eastAsia" w:eastAsia="楷体_GB2312"/>
          <w:sz w:val="32"/>
          <w:szCs w:val="32"/>
        </w:rPr>
        <w:t>（一）退出途径</w:t>
      </w:r>
    </w:p>
    <w:p w14:paraId="5F78604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eastAsia="仿宋_GB2312"/>
          <w:sz w:val="32"/>
          <w:szCs w:val="32"/>
          <w:lang w:eastAsia="zh-CN"/>
        </w:rPr>
      </w:pPr>
      <w:r>
        <w:rPr>
          <w:rFonts w:hint="eastAsia" w:eastAsia="仿宋_GB2312"/>
          <w:sz w:val="32"/>
          <w:szCs w:val="32"/>
        </w:rPr>
        <w:t>包括但不限于基金份额转让、并购、境内/境外IPO上市后股票减持、股东及管理层回购、股权协议转让、基金合同约定的其他退出方式</w:t>
      </w:r>
      <w:r>
        <w:rPr>
          <w:rFonts w:hint="eastAsia" w:eastAsia="仿宋_GB2312"/>
          <w:sz w:val="32"/>
          <w:szCs w:val="32"/>
          <w:lang w:eastAsia="zh-CN"/>
        </w:rPr>
        <w:t>。</w:t>
      </w:r>
    </w:p>
    <w:p w14:paraId="5F78604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eastAsia="楷体_GB2312"/>
          <w:sz w:val="32"/>
          <w:szCs w:val="32"/>
        </w:rPr>
      </w:pPr>
      <w:r>
        <w:rPr>
          <w:rFonts w:hint="eastAsia" w:eastAsia="楷体_GB2312"/>
          <w:sz w:val="32"/>
          <w:szCs w:val="32"/>
        </w:rPr>
        <w:t>（二）资金滚动投资</w:t>
      </w:r>
    </w:p>
    <w:p w14:paraId="5F786048">
      <w:pPr>
        <w:keepNext w:val="0"/>
        <w:keepLines w:val="0"/>
        <w:pageBreakBefore w:val="0"/>
        <w:widowControl w:val="0"/>
        <w:numPr>
          <w:ilvl w:val="255"/>
          <w:numId w:val="0"/>
        </w:numPr>
        <w:kinsoku/>
        <w:wordWrap/>
        <w:overflowPunct/>
        <w:topLinePunct w:val="0"/>
        <w:autoSpaceDE/>
        <w:autoSpaceDN/>
        <w:bidi w:val="0"/>
        <w:adjustRightInd/>
        <w:snapToGrid/>
        <w:spacing w:after="0" w:line="560" w:lineRule="exact"/>
        <w:ind w:firstLine="640" w:firstLineChars="200"/>
        <w:textAlignment w:val="auto"/>
      </w:pPr>
      <w:r>
        <w:rPr>
          <w:rFonts w:hint="eastAsia" w:eastAsia="仿宋_GB2312"/>
          <w:sz w:val="32"/>
          <w:szCs w:val="32"/>
        </w:rPr>
        <w:t>基金通过上述退出方式收回的资金，在覆盖基金运营成本、满足合伙人本金及收益分配约定后，优先用于滚动投资新的符合本基金投向及申请门槛的</w:t>
      </w:r>
      <w:r>
        <w:rPr>
          <w:rFonts w:hint="eastAsia" w:eastAsia="仿宋_GB2312"/>
          <w:sz w:val="32"/>
          <w:szCs w:val="32"/>
          <w:lang w:eastAsia="zh-CN"/>
        </w:rPr>
        <w:t>青年人才</w:t>
      </w:r>
      <w:r>
        <w:rPr>
          <w:rFonts w:hint="eastAsia" w:eastAsia="仿宋_GB2312"/>
          <w:sz w:val="32"/>
          <w:szCs w:val="32"/>
        </w:rPr>
        <w:t>创业项目，实现基金资金的持续循环使用，最大化支持</w:t>
      </w:r>
      <w:r>
        <w:rPr>
          <w:rFonts w:hint="eastAsia" w:eastAsia="仿宋_GB2312"/>
          <w:sz w:val="32"/>
          <w:szCs w:val="32"/>
          <w:lang w:eastAsia="zh-CN"/>
        </w:rPr>
        <w:t>青年人才</w:t>
      </w:r>
      <w:r>
        <w:rPr>
          <w:rFonts w:hint="eastAsia" w:eastAsia="仿宋_GB2312"/>
          <w:sz w:val="32"/>
          <w:szCs w:val="32"/>
        </w:rPr>
        <w:t>创业群体，延长基金扶持周期与覆盖范围。</w:t>
      </w:r>
    </w:p>
    <w:sectPr>
      <w:footerReference r:id="rId5" w:type="default"/>
      <w:footerReference r:id="rId6" w:type="even"/>
      <w:pgSz w:w="11907" w:h="16840"/>
      <w:pgMar w:top="2098" w:right="1531" w:bottom="2098" w:left="1531" w:header="851" w:footer="992"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1ABBED-DF1B-492A-961A-103D4ECD60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0DFDA337-ED1F-45FE-9AB8-AAA9D415E0C7}"/>
  </w:font>
  <w:font w:name="金山简标宋">
    <w:altName w:val="宋体"/>
    <w:panose1 w:val="00000000000000000000"/>
    <w:charset w:val="00"/>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embedRegular r:id="rId3" w:fontKey="{6023AABE-439A-4848-A1DC-2F4988205B7A}"/>
  </w:font>
  <w:font w:name="楷体_GB2312">
    <w:panose1 w:val="02010609030101010101"/>
    <w:charset w:val="86"/>
    <w:family w:val="modern"/>
    <w:pitch w:val="default"/>
    <w:sig w:usb0="00000001" w:usb1="080E0000" w:usb2="00000000" w:usb3="00000000" w:csb0="00040000" w:csb1="00000000"/>
    <w:embedRegular r:id="rId4" w:fontKey="{11E6DA42-E7B7-4DD9-A510-37A512DF49D7}"/>
  </w:font>
  <w:font w:name="仿宋">
    <w:panose1 w:val="02010609060101010101"/>
    <w:charset w:val="86"/>
    <w:family w:val="modern"/>
    <w:pitch w:val="default"/>
    <w:sig w:usb0="800002BF" w:usb1="38CF7CFA" w:usb2="00000016" w:usb3="00000000" w:csb0="00040001" w:csb1="00000000"/>
    <w:embedRegular r:id="rId5" w:fontKey="{1CC73049-786D-45D4-B419-6EE71381F28F}"/>
  </w:font>
  <w:font w:name="方正仿宋_GBK">
    <w:panose1 w:val="03000509000000000000"/>
    <w:charset w:val="86"/>
    <w:family w:val="script"/>
    <w:pitch w:val="default"/>
    <w:sig w:usb0="00000001" w:usb1="080E0000" w:usb2="00000000" w:usb3="00000000" w:csb0="00040000" w:csb1="00000000"/>
    <w:embedRegular r:id="rId6" w:fontKey="{15A7917D-496B-40D0-97ED-573406056C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8604B">
    <w:pPr>
      <w:pStyle w:val="4"/>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78604E">
                          <w:pPr>
                            <w:pStyle w:val="4"/>
                            <w:rPr>
                              <w:rStyle w:val="9"/>
                              <w:rFonts w:hint="eastAsia" w:ascii="宋体" w:hAnsi="宋体"/>
                              <w:sz w:val="28"/>
                            </w:rPr>
                          </w:pPr>
                          <w:r>
                            <w:rPr>
                              <w:rStyle w:val="9"/>
                              <w:rFonts w:hint="eastAsia" w:ascii="宋体" w:hAnsi="宋体"/>
                              <w:sz w:val="28"/>
                            </w:rPr>
                            <w:t xml:space="preserve">— </w:t>
                          </w:r>
                          <w:r>
                            <w:rPr>
                              <w:rStyle w:val="9"/>
                              <w:rFonts w:ascii="宋体" w:hAnsi="宋体"/>
                              <w:sz w:val="28"/>
                            </w:rPr>
                            <w:fldChar w:fldCharType="begin"/>
                          </w:r>
                          <w:r>
                            <w:rPr>
                              <w:rStyle w:val="9"/>
                              <w:rFonts w:ascii="宋体" w:hAnsi="宋体"/>
                              <w:sz w:val="28"/>
                            </w:rPr>
                            <w:instrText xml:space="preserve">PAGE  </w:instrText>
                          </w:r>
                          <w:r>
                            <w:rPr>
                              <w:rStyle w:val="9"/>
                              <w:rFonts w:ascii="宋体" w:hAnsi="宋体"/>
                              <w:sz w:val="28"/>
                            </w:rPr>
                            <w:fldChar w:fldCharType="separate"/>
                          </w:r>
                          <w:r>
                            <w:rPr>
                              <w:rStyle w:val="9"/>
                              <w:rFonts w:ascii="宋体" w:hAnsi="宋体"/>
                              <w:sz w:val="28"/>
                            </w:rPr>
                            <w:t>1</w:t>
                          </w:r>
                          <w:r>
                            <w:rPr>
                              <w:rStyle w:val="9"/>
                              <w:rFonts w:ascii="宋体" w:hAnsi="宋体"/>
                              <w:sz w:val="28"/>
                            </w:rPr>
                            <w:fldChar w:fldCharType="end"/>
                          </w:r>
                          <w:r>
                            <w:rPr>
                              <w:rStyle w:val="9"/>
                              <w:rFonts w:hint="eastAsia" w:ascii="宋体" w:hAnsi="宋体"/>
                              <w:sz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6rY5ptYBAACyAwAADgAAAAAAAAABACAAAAAe&#10;AQAAZHJzL2Uyb0RvYy54bWxQSwUGAAAAAAYABgBZAQAAZgUAAAAA&#10;">
              <v:fill on="f" focussize="0,0"/>
              <v:stroke on="f"/>
              <v:imagedata o:title=""/>
              <o:lock v:ext="edit" aspectratio="f"/>
              <v:textbox inset="0mm,0mm,0mm,0mm" style="mso-fit-shape-to-text:t;">
                <w:txbxContent>
                  <w:p w14:paraId="5F78604E">
                    <w:pPr>
                      <w:pStyle w:val="4"/>
                      <w:rPr>
                        <w:rStyle w:val="9"/>
                        <w:rFonts w:hint="eastAsia" w:ascii="宋体" w:hAnsi="宋体"/>
                        <w:sz w:val="28"/>
                      </w:rPr>
                    </w:pPr>
                    <w:r>
                      <w:rPr>
                        <w:rStyle w:val="9"/>
                        <w:rFonts w:hint="eastAsia" w:ascii="宋体" w:hAnsi="宋体"/>
                        <w:sz w:val="28"/>
                      </w:rPr>
                      <w:t xml:space="preserve">— </w:t>
                    </w:r>
                    <w:r>
                      <w:rPr>
                        <w:rStyle w:val="9"/>
                        <w:rFonts w:ascii="宋体" w:hAnsi="宋体"/>
                        <w:sz w:val="28"/>
                      </w:rPr>
                      <w:fldChar w:fldCharType="begin"/>
                    </w:r>
                    <w:r>
                      <w:rPr>
                        <w:rStyle w:val="9"/>
                        <w:rFonts w:ascii="宋体" w:hAnsi="宋体"/>
                        <w:sz w:val="28"/>
                      </w:rPr>
                      <w:instrText xml:space="preserve">PAGE  </w:instrText>
                    </w:r>
                    <w:r>
                      <w:rPr>
                        <w:rStyle w:val="9"/>
                        <w:rFonts w:ascii="宋体" w:hAnsi="宋体"/>
                        <w:sz w:val="28"/>
                      </w:rPr>
                      <w:fldChar w:fldCharType="separate"/>
                    </w:r>
                    <w:r>
                      <w:rPr>
                        <w:rStyle w:val="9"/>
                        <w:rFonts w:ascii="宋体" w:hAnsi="宋体"/>
                        <w:sz w:val="28"/>
                      </w:rPr>
                      <w:t>1</w:t>
                    </w:r>
                    <w:r>
                      <w:rPr>
                        <w:rStyle w:val="9"/>
                        <w:rFonts w:ascii="宋体" w:hAnsi="宋体"/>
                        <w:sz w:val="28"/>
                      </w:rPr>
                      <w:fldChar w:fldCharType="end"/>
                    </w:r>
                    <w:r>
                      <w:rPr>
                        <w:rStyle w:val="9"/>
                        <w:rFonts w:hint="eastAsia" w:ascii="宋体" w:hAnsi="宋体"/>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86049">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5F78604A">
    <w:pPr>
      <w:pStyle w:val="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BC152A"/>
    <w:multiLevelType w:val="singleLevel"/>
    <w:tmpl w:val="6BBC152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5"/>
  <w:drawingGridHorizontalSpacing w:val="201"/>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doNotBreakWrappedTables/>
    <w:doNotWrapTextWithPunct/>
    <w:doNotUseEastAsianBreakRules/>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xYjlhOWM1NTQ2MDMyNTAzM2NjYTJlMWMxMGYwYmQifQ=="/>
  </w:docVars>
  <w:rsids>
    <w:rsidRoot w:val="006647B5"/>
    <w:rsid w:val="00002D31"/>
    <w:rsid w:val="000154AE"/>
    <w:rsid w:val="00021B99"/>
    <w:rsid w:val="00031D6B"/>
    <w:rsid w:val="000B1FA2"/>
    <w:rsid w:val="000C10B0"/>
    <w:rsid w:val="000E38BC"/>
    <w:rsid w:val="001206E3"/>
    <w:rsid w:val="00174A97"/>
    <w:rsid w:val="001A3671"/>
    <w:rsid w:val="001D6C28"/>
    <w:rsid w:val="00237F72"/>
    <w:rsid w:val="00240ED3"/>
    <w:rsid w:val="002576D8"/>
    <w:rsid w:val="002E72C1"/>
    <w:rsid w:val="00310696"/>
    <w:rsid w:val="003A1F5F"/>
    <w:rsid w:val="003C2A55"/>
    <w:rsid w:val="003F120F"/>
    <w:rsid w:val="00403E00"/>
    <w:rsid w:val="00433BAE"/>
    <w:rsid w:val="00444AA3"/>
    <w:rsid w:val="004541C5"/>
    <w:rsid w:val="00460513"/>
    <w:rsid w:val="00483B3F"/>
    <w:rsid w:val="00485260"/>
    <w:rsid w:val="004A6F78"/>
    <w:rsid w:val="004B3995"/>
    <w:rsid w:val="004C3A8B"/>
    <w:rsid w:val="005B5167"/>
    <w:rsid w:val="00605F5D"/>
    <w:rsid w:val="006456F8"/>
    <w:rsid w:val="006647B5"/>
    <w:rsid w:val="006672E8"/>
    <w:rsid w:val="00676E90"/>
    <w:rsid w:val="006D18CF"/>
    <w:rsid w:val="006F0761"/>
    <w:rsid w:val="00717EA6"/>
    <w:rsid w:val="007612CB"/>
    <w:rsid w:val="0078143C"/>
    <w:rsid w:val="007A198E"/>
    <w:rsid w:val="007A7A7E"/>
    <w:rsid w:val="007C5F75"/>
    <w:rsid w:val="008037BC"/>
    <w:rsid w:val="0080716F"/>
    <w:rsid w:val="0081138C"/>
    <w:rsid w:val="008318CA"/>
    <w:rsid w:val="00856581"/>
    <w:rsid w:val="00871855"/>
    <w:rsid w:val="008900E1"/>
    <w:rsid w:val="008A2344"/>
    <w:rsid w:val="008A41B7"/>
    <w:rsid w:val="008E7441"/>
    <w:rsid w:val="00904955"/>
    <w:rsid w:val="00915825"/>
    <w:rsid w:val="009539DA"/>
    <w:rsid w:val="00962CC7"/>
    <w:rsid w:val="00975FFA"/>
    <w:rsid w:val="00983EAF"/>
    <w:rsid w:val="00A03BAE"/>
    <w:rsid w:val="00A16BE5"/>
    <w:rsid w:val="00A16E62"/>
    <w:rsid w:val="00A4765B"/>
    <w:rsid w:val="00A51EFB"/>
    <w:rsid w:val="00AE2E21"/>
    <w:rsid w:val="00B40A10"/>
    <w:rsid w:val="00B72156"/>
    <w:rsid w:val="00B7769F"/>
    <w:rsid w:val="00C252D1"/>
    <w:rsid w:val="00C37252"/>
    <w:rsid w:val="00C56AA0"/>
    <w:rsid w:val="00C629D0"/>
    <w:rsid w:val="00C8149F"/>
    <w:rsid w:val="00CA5347"/>
    <w:rsid w:val="00CB297D"/>
    <w:rsid w:val="00CE39E5"/>
    <w:rsid w:val="00D61B24"/>
    <w:rsid w:val="00D97A47"/>
    <w:rsid w:val="00DE6891"/>
    <w:rsid w:val="00E16942"/>
    <w:rsid w:val="00E21774"/>
    <w:rsid w:val="00E35F73"/>
    <w:rsid w:val="00E70F0C"/>
    <w:rsid w:val="00EC0C5E"/>
    <w:rsid w:val="00F04EFD"/>
    <w:rsid w:val="00F200C2"/>
    <w:rsid w:val="00F57A04"/>
    <w:rsid w:val="00F72688"/>
    <w:rsid w:val="00F94B2B"/>
    <w:rsid w:val="00FA02B9"/>
    <w:rsid w:val="00FA0330"/>
    <w:rsid w:val="00FF25C8"/>
    <w:rsid w:val="00FF46CF"/>
    <w:rsid w:val="022B2C0A"/>
    <w:rsid w:val="023F7FD7"/>
    <w:rsid w:val="024961D6"/>
    <w:rsid w:val="02C11409"/>
    <w:rsid w:val="03464571"/>
    <w:rsid w:val="036B7F01"/>
    <w:rsid w:val="043A2607"/>
    <w:rsid w:val="04B96CB1"/>
    <w:rsid w:val="05171657"/>
    <w:rsid w:val="065D338D"/>
    <w:rsid w:val="08F301FA"/>
    <w:rsid w:val="09044B0A"/>
    <w:rsid w:val="094107C3"/>
    <w:rsid w:val="0A8235E3"/>
    <w:rsid w:val="0B64686D"/>
    <w:rsid w:val="0B6D6042"/>
    <w:rsid w:val="0B7E718C"/>
    <w:rsid w:val="0BF945B1"/>
    <w:rsid w:val="0C26168F"/>
    <w:rsid w:val="0D8B7123"/>
    <w:rsid w:val="0DF93BBD"/>
    <w:rsid w:val="0E212BEA"/>
    <w:rsid w:val="0F234C69"/>
    <w:rsid w:val="0F914BED"/>
    <w:rsid w:val="10C602AB"/>
    <w:rsid w:val="11BE7186"/>
    <w:rsid w:val="11C94BEF"/>
    <w:rsid w:val="13367661"/>
    <w:rsid w:val="1470213A"/>
    <w:rsid w:val="150907E7"/>
    <w:rsid w:val="157D0378"/>
    <w:rsid w:val="191915B7"/>
    <w:rsid w:val="19AB2F42"/>
    <w:rsid w:val="19D4427E"/>
    <w:rsid w:val="1CA92C52"/>
    <w:rsid w:val="1CC27B58"/>
    <w:rsid w:val="1DB67AAD"/>
    <w:rsid w:val="1DC14242"/>
    <w:rsid w:val="1F5E7F5C"/>
    <w:rsid w:val="20216FA3"/>
    <w:rsid w:val="209A6308"/>
    <w:rsid w:val="210764DB"/>
    <w:rsid w:val="214967B1"/>
    <w:rsid w:val="21871088"/>
    <w:rsid w:val="21C06A96"/>
    <w:rsid w:val="21CC0D16"/>
    <w:rsid w:val="250B2AA9"/>
    <w:rsid w:val="258E0C37"/>
    <w:rsid w:val="277B51EB"/>
    <w:rsid w:val="27D878B7"/>
    <w:rsid w:val="283A6E54"/>
    <w:rsid w:val="28604C94"/>
    <w:rsid w:val="286B34B1"/>
    <w:rsid w:val="28722A91"/>
    <w:rsid w:val="290259CF"/>
    <w:rsid w:val="2B0D4B2B"/>
    <w:rsid w:val="2C576226"/>
    <w:rsid w:val="2CE57C43"/>
    <w:rsid w:val="2D695BFA"/>
    <w:rsid w:val="2DAF2604"/>
    <w:rsid w:val="2ED022C0"/>
    <w:rsid w:val="2F0D0E1E"/>
    <w:rsid w:val="2F1947D9"/>
    <w:rsid w:val="303D5733"/>
    <w:rsid w:val="304B4C3C"/>
    <w:rsid w:val="306E1044"/>
    <w:rsid w:val="315947EF"/>
    <w:rsid w:val="31B1538D"/>
    <w:rsid w:val="32330B44"/>
    <w:rsid w:val="32383B31"/>
    <w:rsid w:val="33813B89"/>
    <w:rsid w:val="342D3D10"/>
    <w:rsid w:val="352C5D76"/>
    <w:rsid w:val="36251143"/>
    <w:rsid w:val="372E2279"/>
    <w:rsid w:val="37682E1D"/>
    <w:rsid w:val="37C7555A"/>
    <w:rsid w:val="380D1E8F"/>
    <w:rsid w:val="396D5BE0"/>
    <w:rsid w:val="39A80D8A"/>
    <w:rsid w:val="3A5E59CC"/>
    <w:rsid w:val="3AAA60BB"/>
    <w:rsid w:val="3AFF66D9"/>
    <w:rsid w:val="3B1108DB"/>
    <w:rsid w:val="3C270B5B"/>
    <w:rsid w:val="3DA54918"/>
    <w:rsid w:val="3DE511B8"/>
    <w:rsid w:val="40095632"/>
    <w:rsid w:val="40E1444C"/>
    <w:rsid w:val="411B6B78"/>
    <w:rsid w:val="430A7932"/>
    <w:rsid w:val="435617AB"/>
    <w:rsid w:val="45A57BAB"/>
    <w:rsid w:val="45E5269D"/>
    <w:rsid w:val="468E4810"/>
    <w:rsid w:val="46DB13AA"/>
    <w:rsid w:val="472F1E22"/>
    <w:rsid w:val="4745001B"/>
    <w:rsid w:val="477002C0"/>
    <w:rsid w:val="481A3D7D"/>
    <w:rsid w:val="48745230"/>
    <w:rsid w:val="49F0022B"/>
    <w:rsid w:val="4A2C3F3D"/>
    <w:rsid w:val="4A993A56"/>
    <w:rsid w:val="4CE2229B"/>
    <w:rsid w:val="4E361CE8"/>
    <w:rsid w:val="4FDC795D"/>
    <w:rsid w:val="51D75590"/>
    <w:rsid w:val="54F63F7F"/>
    <w:rsid w:val="55257CB3"/>
    <w:rsid w:val="55270712"/>
    <w:rsid w:val="552F2E36"/>
    <w:rsid w:val="58117B97"/>
    <w:rsid w:val="58E862D4"/>
    <w:rsid w:val="5A47702B"/>
    <w:rsid w:val="5A5D0985"/>
    <w:rsid w:val="5B8B1AB5"/>
    <w:rsid w:val="5BC634A0"/>
    <w:rsid w:val="5C50666A"/>
    <w:rsid w:val="5EAC61CC"/>
    <w:rsid w:val="60603A82"/>
    <w:rsid w:val="623C31ED"/>
    <w:rsid w:val="62894684"/>
    <w:rsid w:val="64890B1A"/>
    <w:rsid w:val="64A22CCA"/>
    <w:rsid w:val="64CA1963"/>
    <w:rsid w:val="650F1B0D"/>
    <w:rsid w:val="65407FE7"/>
    <w:rsid w:val="6578453C"/>
    <w:rsid w:val="658E1FB1"/>
    <w:rsid w:val="66F83B86"/>
    <w:rsid w:val="67543080"/>
    <w:rsid w:val="678A3FFF"/>
    <w:rsid w:val="67CB3CC5"/>
    <w:rsid w:val="68212C69"/>
    <w:rsid w:val="69A668E3"/>
    <w:rsid w:val="69A676E1"/>
    <w:rsid w:val="69DC353A"/>
    <w:rsid w:val="6BA50981"/>
    <w:rsid w:val="6C053E44"/>
    <w:rsid w:val="6C6D0B73"/>
    <w:rsid w:val="6E2214E9"/>
    <w:rsid w:val="6E337DE5"/>
    <w:rsid w:val="6EDA0016"/>
    <w:rsid w:val="6FC0545D"/>
    <w:rsid w:val="6FE31754"/>
    <w:rsid w:val="705F4C76"/>
    <w:rsid w:val="70673B2B"/>
    <w:rsid w:val="71A4187D"/>
    <w:rsid w:val="726F66BF"/>
    <w:rsid w:val="72C62D8B"/>
    <w:rsid w:val="734F59FE"/>
    <w:rsid w:val="73B635FA"/>
    <w:rsid w:val="742653A7"/>
    <w:rsid w:val="751F332A"/>
    <w:rsid w:val="7535244A"/>
    <w:rsid w:val="760D4B2D"/>
    <w:rsid w:val="76E40D9D"/>
    <w:rsid w:val="77C00AD1"/>
    <w:rsid w:val="788A2AAC"/>
    <w:rsid w:val="792151BF"/>
    <w:rsid w:val="797846B3"/>
    <w:rsid w:val="7A420A62"/>
    <w:rsid w:val="7AD87AFF"/>
    <w:rsid w:val="7BF73FD1"/>
    <w:rsid w:val="7D5947FB"/>
    <w:rsid w:val="7E3D3C2A"/>
    <w:rsid w:val="7F677810"/>
    <w:rsid w:val="99FF2027"/>
    <w:rsid w:val="ACD73FB0"/>
    <w:rsid w:val="BB590120"/>
    <w:rsid w:val="DE5E1CDC"/>
    <w:rsid w:val="F7DD5384"/>
    <w:rsid w:val="F7EBD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7"/>
    <w:unhideWhenUsed/>
    <w:qFormat/>
    <w:uiPriority w:val="99"/>
    <w:pPr>
      <w:jc w:val="left"/>
    </w:pPr>
  </w:style>
  <w:style w:type="paragraph" w:styleId="4">
    <w:name w:val="footer"/>
    <w:basedOn w:val="1"/>
    <w:link w:val="11"/>
    <w:qFormat/>
    <w:uiPriority w:val="0"/>
    <w:pPr>
      <w:tabs>
        <w:tab w:val="center" w:pos="4153"/>
        <w:tab w:val="right" w:pos="8306"/>
      </w:tabs>
      <w:snapToGrid w:val="0"/>
      <w:jc w:val="left"/>
    </w:pPr>
    <w:rPr>
      <w:sz w:val="18"/>
    </w:rPr>
  </w:style>
  <w:style w:type="paragraph" w:styleId="5">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3"/>
    <w:next w:val="3"/>
    <w:link w:val="28"/>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脚 字符"/>
    <w:link w:val="4"/>
    <w:qFormat/>
    <w:uiPriority w:val="0"/>
    <w:rPr>
      <w:kern w:val="2"/>
      <w:sz w:val="18"/>
    </w:rPr>
  </w:style>
  <w:style w:type="character" w:customStyle="1" w:styleId="12">
    <w:name w:val="公文文种"/>
    <w:qFormat/>
    <w:uiPriority w:val="0"/>
    <w:rPr>
      <w:rFonts w:eastAsia="宋体"/>
      <w:sz w:val="32"/>
    </w:rPr>
  </w:style>
  <w:style w:type="character" w:customStyle="1" w:styleId="13">
    <w:name w:val="公文文号"/>
    <w:qFormat/>
    <w:uiPriority w:val="0"/>
    <w:rPr>
      <w:rFonts w:eastAsia="仿宋_GB2312"/>
      <w:sz w:val="32"/>
    </w:rPr>
  </w:style>
  <w:style w:type="character" w:customStyle="1" w:styleId="14">
    <w:name w:val="公文标题"/>
    <w:qFormat/>
    <w:uiPriority w:val="0"/>
    <w:rPr>
      <w:rFonts w:ascii="金山简标宋" w:eastAsia="金山简标宋"/>
      <w:sz w:val="44"/>
    </w:rPr>
  </w:style>
  <w:style w:type="character" w:customStyle="1" w:styleId="15">
    <w:name w:val="公文主送"/>
    <w:qFormat/>
    <w:uiPriority w:val="0"/>
    <w:rPr>
      <w:rFonts w:eastAsia="仿宋_GB2312"/>
      <w:sz w:val="32"/>
    </w:rPr>
  </w:style>
  <w:style w:type="character" w:customStyle="1" w:styleId="16">
    <w:name w:val="公文正文"/>
    <w:qFormat/>
    <w:uiPriority w:val="0"/>
    <w:rPr>
      <w:rFonts w:ascii="仿宋_GB2312" w:eastAsia="仿宋_GB2312"/>
      <w:sz w:val="32"/>
    </w:rPr>
  </w:style>
  <w:style w:type="character" w:customStyle="1" w:styleId="17">
    <w:name w:val="公文签发日期"/>
    <w:qFormat/>
    <w:uiPriority w:val="0"/>
    <w:rPr>
      <w:rFonts w:eastAsia="仿宋_GB2312"/>
      <w:sz w:val="32"/>
    </w:rPr>
  </w:style>
  <w:style w:type="character" w:customStyle="1" w:styleId="18">
    <w:name w:val="公文主题词"/>
    <w:qFormat/>
    <w:uiPriority w:val="0"/>
    <w:rPr>
      <w:rFonts w:eastAsia="金山简标宋"/>
      <w:sz w:val="28"/>
    </w:rPr>
  </w:style>
  <w:style w:type="character" w:customStyle="1" w:styleId="19">
    <w:name w:val="公文抄送"/>
    <w:qFormat/>
    <w:uiPriority w:val="0"/>
    <w:rPr>
      <w:rFonts w:eastAsia="仿宋_GB2312"/>
      <w:sz w:val="32"/>
    </w:rPr>
  </w:style>
  <w:style w:type="character" w:customStyle="1" w:styleId="20">
    <w:name w:val="公文抄报"/>
    <w:qFormat/>
    <w:uiPriority w:val="0"/>
    <w:rPr>
      <w:rFonts w:eastAsia="仿宋_GB2312"/>
      <w:sz w:val="28"/>
    </w:rPr>
  </w:style>
  <w:style w:type="character" w:customStyle="1" w:styleId="21">
    <w:name w:val="公文发出日期"/>
    <w:qFormat/>
    <w:uiPriority w:val="0"/>
    <w:rPr>
      <w:rFonts w:ascii="仿宋_GB2312" w:eastAsia="仿宋_GB2312"/>
      <w:sz w:val="32"/>
    </w:rPr>
  </w:style>
  <w:style w:type="character" w:customStyle="1" w:styleId="22">
    <w:name w:val="公文份数"/>
    <w:qFormat/>
    <w:uiPriority w:val="0"/>
    <w:rPr>
      <w:rFonts w:eastAsia="仿宋_GB2312"/>
      <w:sz w:val="28"/>
    </w:rPr>
  </w:style>
  <w:style w:type="character" w:customStyle="1" w:styleId="23">
    <w:name w:val="公文打字"/>
    <w:qFormat/>
    <w:uiPriority w:val="0"/>
    <w:rPr>
      <w:rFonts w:eastAsia="仿宋_GB2312"/>
      <w:sz w:val="28"/>
    </w:rPr>
  </w:style>
  <w:style w:type="character" w:customStyle="1" w:styleId="24">
    <w:name w:val="公文校对"/>
    <w:qFormat/>
    <w:uiPriority w:val="0"/>
    <w:rPr>
      <w:rFonts w:eastAsia="仿宋_GB2312"/>
      <w:sz w:val="28"/>
    </w:rPr>
  </w:style>
  <w:style w:type="character" w:customStyle="1" w:styleId="25">
    <w:name w:val="公文附件"/>
    <w:qFormat/>
    <w:uiPriority w:val="0"/>
    <w:rPr>
      <w:rFonts w:eastAsia="仿宋_GB2312"/>
      <w:sz w:val="32"/>
    </w:rPr>
  </w:style>
  <w:style w:type="paragraph" w:customStyle="1" w:styleId="26">
    <w:name w:val="Revision"/>
    <w:hidden/>
    <w:unhideWhenUsed/>
    <w:qFormat/>
    <w:uiPriority w:val="99"/>
    <w:pPr>
      <w:spacing w:after="0" w:line="240" w:lineRule="auto"/>
    </w:pPr>
    <w:rPr>
      <w:rFonts w:ascii="Times New Roman" w:hAnsi="Times New Roman" w:eastAsia="宋体" w:cs="Times New Roman"/>
      <w:kern w:val="2"/>
      <w:sz w:val="21"/>
      <w:lang w:val="en-US" w:eastAsia="zh-CN" w:bidi="ar-SA"/>
    </w:rPr>
  </w:style>
  <w:style w:type="character" w:customStyle="1" w:styleId="27">
    <w:name w:val="批注文字 字符"/>
    <w:basedOn w:val="8"/>
    <w:link w:val="3"/>
    <w:qFormat/>
    <w:uiPriority w:val="99"/>
    <w:rPr>
      <w:kern w:val="2"/>
      <w:sz w:val="21"/>
    </w:rPr>
  </w:style>
  <w:style w:type="character" w:customStyle="1" w:styleId="28">
    <w:name w:val="批注主题 字符"/>
    <w:basedOn w:val="27"/>
    <w:link w:val="6"/>
    <w:semiHidden/>
    <w:qFormat/>
    <w:uiPriority w:val="99"/>
    <w:rPr>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64dd03f0-4cba-4add-b0c2-680e3701dafe</errorID>
      <errorWord>市地方金融管理局</errorWord>
      <group>L1_Knowledge</group>
      <groupName>知识性问题</groupName>
      <ability>L2_Organization</ability>
      <abilityName>机构检查</abilityName>
      <candidateList>
        <item>市地方金融监管局</item>
      </candidateList>
      <explain>机关单位全简称表述错误</explain>
      <paraID>5F78601A</paraID>
      <start>75</start>
      <end>83</end>
      <status>ignored</status>
      <modifiedWord/>
      <trackRevisions>false</trackRevisions>
    </reviewItem>
    <reviewItem>
      <errorID>531c4034-d797-4249-8b92-33dc8d717b2f</errorID>
      <errorWord>叠</errorWord>
      <group>L1_Word</group>
      <groupName>字词问题</groupName>
      <ability>L2_Typo</ability>
      <abilityName>字词错误</abilityName>
      <candidateList>
        <item>叠加</item>
      </candidateList>
      <explain/>
      <paraID>5F78601C</paraID>
      <start>85</start>
      <end>87</end>
      <status>modified</status>
      <modifiedWord>叠加</modifiedWord>
      <trackRevisions>false</trackRevisions>
    </reviewItem>
    <reviewItem>
      <errorID>2fc44f1c-4ac3-41a3-a3c2-ad4c2e273c1e</errorID>
      <errorWord>,</errorWord>
      <group>L1_Format</group>
      <groupName>格式问题</groupName>
      <ability>L2_HalfPunc_CN</ability>
      <abilityName>全半角检查</abilityName>
      <candidateList>
        <item>，</item>
      </candidateList>
      <explain>文本全半角错误。</explain>
      <paraID>5F786032</paraID>
      <start>150</start>
      <end>151</end>
      <status>modified</status>
      <modifiedWord>，</modifiedWord>
      <trackRevisions>false</trackRevisions>
    </reviewItem>
    <reviewItem>
      <errorID>3c422fd6-675e-4972-b191-8daecc7add11</errorID>
      <errorWord>习</errorWord>
      <group>L1_Word</group>
      <groupName>字词问题</groupName>
      <ability>L2_Typo</ability>
      <abilityName>字词错误</abilityName>
      <candidateList>
        <item>习和</item>
      </candidateList>
      <explain/>
      <paraID>5F78603B</paraID>
      <start>40</start>
      <end>41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585ff4-0c9f-4a12-873d-dcc410478584}">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3259</Words>
  <Characters>3299</Characters>
  <Lines>84</Lines>
  <Paragraphs>53</Paragraphs>
  <TotalTime>5</TotalTime>
  <ScaleCrop>false</ScaleCrop>
  <LinksUpToDate>false</LinksUpToDate>
  <CharactersWithSpaces>3312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2019-10-24T19:54:00Z</dcterms:created>
  <dc:creator>昆明市人民政府办公厅</dc:creator>
  <cp:lastModifiedBy>马宇峰</cp:lastModifiedBy>
  <cp:lastPrinted>2026-05-29T06:52:00Z</cp:lastPrinted>
  <dcterms:modified xsi:type="dcterms:W3CDTF">2026-06-10T01:59:29Z</dcterms:modified>
  <dc:title>白头文件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7AE93E002AD843A89571411700B42B6A_13</vt:lpwstr>
  </property>
  <property fmtid="{D5CDD505-2E9C-101B-9397-08002B2CF9AE}" pid="4" name="KSOTemplateDocerSaveRecord">
    <vt:lpwstr>eyJoZGlkIjoiZDM0MmZkODI5YWFkYmRlZWFhM2E1ZjYzNzM5NGVmMTMiLCJ1c2VySWQiOiIxNTEyNjU0NjUzIn0=</vt:lpwstr>
  </property>
</Properties>
</file>