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F48F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方正小标宋_GBK" w:cs="Times New Roman"/>
          <w:sz w:val="44"/>
          <w:szCs w:val="44"/>
          <w:highlight w:val="none"/>
          <w:lang w:val="en-US" w:eastAsia="zh-CN"/>
        </w:rPr>
      </w:pPr>
    </w:p>
    <w:p w14:paraId="1456537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昆明市青年人才创新创业投资基金</w:t>
      </w:r>
    </w:p>
    <w:p w14:paraId="5C6E7A5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highlight w:val="none"/>
          <w:lang w:val="en-US" w:eastAsia="zh-CN"/>
        </w:rPr>
        <w:t>管理办法</w:t>
      </w:r>
    </w:p>
    <w:p w14:paraId="54D192D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jc w:val="center"/>
        <w:textAlignment w:val="auto"/>
        <w:rPr>
          <w:rStyle w:val="9"/>
          <w:rFonts w:hint="eastAsia" w:ascii="楷体_GB2312" w:hAnsi="楷体_GB2312" w:eastAsia="楷体_GB2312" w:cs="楷体_GB2312"/>
          <w:b w:val="0"/>
          <w:bCs/>
          <w:sz w:val="32"/>
          <w:szCs w:val="32"/>
          <w:lang w:eastAsia="zh-CN"/>
        </w:rPr>
      </w:pPr>
      <w:bookmarkStart w:id="0" w:name="_GoBack"/>
      <w:bookmarkEnd w:id="0"/>
      <w:r>
        <w:rPr>
          <w:rStyle w:val="9"/>
          <w:rFonts w:hint="eastAsia" w:ascii="楷体_GB2312" w:hAnsi="楷体_GB2312" w:eastAsia="楷体_GB2312" w:cs="楷体_GB2312"/>
          <w:b w:val="0"/>
          <w:bCs/>
          <w:sz w:val="32"/>
          <w:szCs w:val="32"/>
          <w:lang w:eastAsia="zh-CN"/>
        </w:rPr>
        <w:t>（</w:t>
      </w:r>
      <w:r>
        <w:rPr>
          <w:rStyle w:val="9"/>
          <w:rFonts w:hint="eastAsia" w:ascii="楷体_GB2312" w:hAnsi="楷体_GB2312" w:eastAsia="楷体_GB2312" w:cs="楷体_GB2312"/>
          <w:b w:val="0"/>
          <w:bCs/>
          <w:sz w:val="32"/>
          <w:szCs w:val="32"/>
          <w:lang w:val="en-US" w:eastAsia="zh-CN"/>
        </w:rPr>
        <w:t>送审稿</w:t>
      </w:r>
      <w:r>
        <w:rPr>
          <w:rStyle w:val="9"/>
          <w:rFonts w:hint="eastAsia" w:ascii="楷体_GB2312" w:hAnsi="楷体_GB2312" w:eastAsia="楷体_GB2312" w:cs="楷体_GB2312"/>
          <w:b w:val="0"/>
          <w:bCs/>
          <w:sz w:val="32"/>
          <w:szCs w:val="32"/>
          <w:lang w:eastAsia="zh-CN"/>
        </w:rPr>
        <w:t>）</w:t>
      </w:r>
    </w:p>
    <w:p w14:paraId="2190AC8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jc w:val="center"/>
        <w:textAlignment w:val="auto"/>
        <w:rPr>
          <w:rStyle w:val="9"/>
          <w:rFonts w:hint="default" w:ascii="Times New Roman" w:hAnsi="Times New Roman" w:eastAsia="黑体" w:cs="Times New Roman"/>
          <w:b w:val="0"/>
          <w:bCs/>
          <w:sz w:val="32"/>
          <w:szCs w:val="32"/>
        </w:rPr>
      </w:pPr>
    </w:p>
    <w:p w14:paraId="25A2BF1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jc w:val="center"/>
        <w:textAlignment w:val="auto"/>
        <w:rPr>
          <w:rFonts w:hint="default" w:ascii="Times New Roman" w:hAnsi="Times New Roman" w:eastAsia="黑体" w:cs="Times New Roman"/>
          <w:b w:val="0"/>
          <w:bCs/>
          <w:sz w:val="32"/>
          <w:szCs w:val="32"/>
        </w:rPr>
      </w:pPr>
      <w:r>
        <w:rPr>
          <w:rStyle w:val="9"/>
          <w:rFonts w:hint="default" w:ascii="Times New Roman" w:hAnsi="Times New Roman" w:eastAsia="黑体" w:cs="Times New Roman"/>
          <w:b w:val="0"/>
          <w:bCs/>
          <w:sz w:val="32"/>
          <w:szCs w:val="32"/>
        </w:rPr>
        <w:t>第一章 总则</w:t>
      </w:r>
    </w:p>
    <w:p w14:paraId="23D30B5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rPr>
      </w:pPr>
    </w:p>
    <w:p w14:paraId="5915667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第一条 为规范设立和运作</w:t>
      </w:r>
      <w:r>
        <w:rPr>
          <w:rFonts w:hint="default" w:ascii="Times New Roman" w:hAnsi="Times New Roman" w:eastAsia="仿宋_GB2312" w:cs="Times New Roman"/>
          <w:sz w:val="32"/>
          <w:szCs w:val="32"/>
          <w:lang w:val="en-US" w:eastAsia="zh-CN"/>
        </w:rPr>
        <w:t>昆明市青年人才创业创新投资基金</w:t>
      </w:r>
      <w:r>
        <w:rPr>
          <w:rFonts w:hint="default" w:ascii="Times New Roman" w:hAnsi="Times New Roman" w:eastAsia="仿宋_GB2312" w:cs="Times New Roman"/>
          <w:sz w:val="32"/>
          <w:szCs w:val="32"/>
        </w:rPr>
        <w:t>（以下简称“</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创投基金”），促进</w:t>
      </w:r>
      <w:r>
        <w:rPr>
          <w:rFonts w:hint="default" w:ascii="Times New Roman" w:hAnsi="Times New Roman" w:eastAsia="仿宋_GB2312" w:cs="Times New Roman"/>
          <w:sz w:val="32"/>
          <w:szCs w:val="32"/>
          <w:lang w:val="en-US" w:eastAsia="zh-CN"/>
        </w:rPr>
        <w:t>昆明</w:t>
      </w:r>
      <w:r>
        <w:rPr>
          <w:rFonts w:hint="default" w:ascii="Times New Roman" w:hAnsi="Times New Roman" w:eastAsia="仿宋_GB2312" w:cs="Times New Roman"/>
          <w:sz w:val="32"/>
          <w:szCs w:val="32"/>
        </w:rPr>
        <w:t>创业投资健康快速发展，大力推进自主创新和高新技术产业化，加快培育和发展战略性新兴产业，根据《国务院办公厅关于促进政府投资基金高质量发展的指导意见》（国办发〔2025〕1号）、《国务院办公厅关于</w:t>
      </w:r>
      <w:r>
        <w:rPr>
          <w:rFonts w:hint="default" w:ascii="Times New Roman" w:hAnsi="Times New Roman" w:eastAsia="仿宋_GB2312" w:cs="Times New Roman"/>
          <w:sz w:val="32"/>
          <w:szCs w:val="32"/>
          <w:lang w:val="en-US" w:eastAsia="zh-CN"/>
        </w:rPr>
        <w:t>印发促进创业投资高质量发展的若干政策措施的通知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国办发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云南省政府投资基金管理暂行办法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云</w:t>
      </w:r>
      <w:r>
        <w:rPr>
          <w:rFonts w:hint="default" w:ascii="Times New Roman" w:hAnsi="Times New Roman" w:eastAsia="仿宋_GB2312" w:cs="Times New Roman"/>
          <w:sz w:val="32"/>
          <w:szCs w:val="32"/>
        </w:rPr>
        <w:t>财</w:t>
      </w:r>
      <w:r>
        <w:rPr>
          <w:rFonts w:hint="default"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昆明市政府投资基金管理暂行办法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昆地金</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金融支持昆明市人才工作实施意见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昆地金通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号）等相关文件要求，制定本办法。</w:t>
      </w:r>
    </w:p>
    <w:p w14:paraId="27BA68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rPr>
        <w:t>第二条 本办法所称</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创投基金，是指</w:t>
      </w:r>
      <w:r>
        <w:rPr>
          <w:rFonts w:hint="default" w:ascii="Times New Roman" w:hAnsi="Times New Roman" w:eastAsia="仿宋_GB2312" w:cs="Times New Roman"/>
          <w:sz w:val="32"/>
          <w:szCs w:val="32"/>
          <w:lang w:val="en-US" w:eastAsia="zh-CN"/>
        </w:rPr>
        <w:t>经昆明市人民政府同意，昆明市地方金融管理局指导，</w:t>
      </w:r>
      <w:r>
        <w:rPr>
          <w:rFonts w:hint="default" w:ascii="Times New Roman" w:hAnsi="Times New Roman" w:eastAsia="仿宋_GB2312" w:cs="Times New Roman"/>
          <w:sz w:val="32"/>
          <w:szCs w:val="32"/>
          <w:u w:val="none"/>
          <w:lang w:val="en-US" w:eastAsia="zh-CN"/>
        </w:rPr>
        <w:t>共青团昆明市委作为行业主管部门</w:t>
      </w:r>
      <w:r>
        <w:rPr>
          <w:rFonts w:hint="default" w:ascii="Times New Roman" w:hAnsi="Times New Roman" w:eastAsia="仿宋_GB2312" w:cs="Times New Roman"/>
          <w:color w:val="000000"/>
          <w:kern w:val="0"/>
          <w:sz w:val="32"/>
          <w:szCs w:val="32"/>
          <w:highlight w:val="none"/>
          <w:u w:val="none"/>
          <w:lang w:val="en-US" w:eastAsia="zh-CN"/>
        </w:rPr>
        <w:t>发起设立，</w:t>
      </w:r>
      <w:r>
        <w:rPr>
          <w:rFonts w:hint="default" w:ascii="Times New Roman" w:hAnsi="Times New Roman" w:eastAsia="仿宋_GB2312" w:cs="Times New Roman"/>
          <w:sz w:val="32"/>
          <w:szCs w:val="32"/>
        </w:rPr>
        <w:t>并按照市场化方式运作的</w:t>
      </w:r>
      <w:r>
        <w:rPr>
          <w:rFonts w:hint="default" w:ascii="Times New Roman" w:hAnsi="Times New Roman" w:eastAsia="仿宋_GB2312" w:cs="Times New Roman"/>
          <w:sz w:val="32"/>
          <w:szCs w:val="32"/>
          <w:lang w:val="en-US" w:eastAsia="zh-CN"/>
        </w:rPr>
        <w:t>创业投资类政府投资</w:t>
      </w:r>
      <w:r>
        <w:rPr>
          <w:rFonts w:hint="default" w:ascii="Times New Roman" w:hAnsi="Times New Roman" w:eastAsia="仿宋_GB2312" w:cs="Times New Roman"/>
          <w:sz w:val="32"/>
          <w:szCs w:val="32"/>
        </w:rPr>
        <w:t>基金</w:t>
      </w:r>
      <w:r>
        <w:rPr>
          <w:rFonts w:hint="default" w:ascii="Times New Roman" w:hAnsi="Times New Roman" w:eastAsia="仿宋_GB2312" w:cs="Times New Roman"/>
          <w:sz w:val="32"/>
          <w:szCs w:val="32"/>
          <w:lang w:val="en-US" w:eastAsia="zh-CN"/>
        </w:rPr>
        <w:t>，首期规模</w:t>
      </w:r>
      <w:r>
        <w:rPr>
          <w:rFonts w:hint="eastAsia" w:ascii="Times New Roman" w:hAnsi="Times New Roman" w:eastAsia="仿宋_GB2312" w:cs="Times New Roman"/>
          <w:sz w:val="32"/>
          <w:szCs w:val="32"/>
          <w:lang w:val="en-US" w:eastAsia="zh-CN"/>
        </w:rPr>
        <w:t>不低于</w:t>
      </w:r>
      <w:r>
        <w:rPr>
          <w:rFonts w:hint="default" w:ascii="Times New Roman" w:hAnsi="Times New Roman" w:eastAsia="仿宋_GB2312" w:cs="Times New Roman"/>
          <w:sz w:val="32"/>
          <w:szCs w:val="32"/>
          <w:lang w:val="en-US" w:eastAsia="zh-CN"/>
        </w:rPr>
        <w:t>1,000万元，并根据一期基金运作成效、社会资本募集情况及优质项目储备量，适时启动二期、三期基金设立工作，具体规模另行确定。</w:t>
      </w:r>
    </w:p>
    <w:p w14:paraId="3C85B2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 xml:space="preserve">第三条  </w:t>
      </w:r>
      <w:r>
        <w:rPr>
          <w:rFonts w:hint="default" w:ascii="Times New Roman" w:hAnsi="Times New Roman" w:eastAsia="仿宋_GB2312" w:cs="Times New Roman"/>
          <w:kern w:val="0"/>
          <w:sz w:val="32"/>
          <w:szCs w:val="32"/>
          <w:highlight w:val="none"/>
        </w:rPr>
        <w:t>基金的组织形式为有限合伙制，</w:t>
      </w:r>
      <w:r>
        <w:rPr>
          <w:rFonts w:hint="default" w:ascii="Times New Roman" w:hAnsi="Times New Roman" w:eastAsia="仿宋_GB2312" w:cs="Times New Roman"/>
          <w:kern w:val="0"/>
          <w:sz w:val="32"/>
          <w:szCs w:val="32"/>
          <w:highlight w:val="none"/>
          <w:lang w:val="en-US" w:eastAsia="zh-CN"/>
        </w:rPr>
        <w:t>资金来源为昆明市市级财政资金</w:t>
      </w:r>
      <w:r>
        <w:rPr>
          <w:rFonts w:hint="eastAsia" w:ascii="Times New Roman" w:hAnsi="Times New Roman" w:eastAsia="仿宋_GB2312" w:cs="Times New Roman"/>
          <w:kern w:val="0"/>
          <w:sz w:val="32"/>
          <w:szCs w:val="32"/>
          <w:highlight w:val="none"/>
          <w:lang w:val="en-US" w:eastAsia="zh-CN"/>
        </w:rPr>
        <w:t>和社会资本。</w:t>
      </w:r>
      <w:r>
        <w:rPr>
          <w:rFonts w:hint="default" w:ascii="Times New Roman" w:hAnsi="Times New Roman" w:eastAsia="仿宋_GB2312" w:cs="Times New Roman"/>
          <w:kern w:val="0"/>
          <w:sz w:val="32"/>
          <w:szCs w:val="32"/>
          <w:highlight w:val="none"/>
          <w:lang w:val="en-US" w:eastAsia="zh-CN"/>
        </w:rPr>
        <w:t>共青团昆明市委</w:t>
      </w:r>
      <w:r>
        <w:rPr>
          <w:rFonts w:hint="default" w:ascii="Times New Roman" w:hAnsi="Times New Roman" w:eastAsia="仿宋_GB2312" w:cs="Times New Roman"/>
          <w:kern w:val="0"/>
          <w:sz w:val="32"/>
          <w:szCs w:val="32"/>
          <w:highlight w:val="none"/>
        </w:rPr>
        <w:t>为资金</w:t>
      </w:r>
      <w:r>
        <w:rPr>
          <w:rFonts w:hint="default" w:ascii="Times New Roman" w:hAnsi="Times New Roman" w:eastAsia="仿宋_GB2312" w:cs="Times New Roman"/>
          <w:kern w:val="0"/>
          <w:sz w:val="32"/>
          <w:szCs w:val="32"/>
          <w:highlight w:val="none"/>
          <w:lang w:val="en-US" w:eastAsia="zh-CN"/>
        </w:rPr>
        <w:t>管理单位</w:t>
      </w:r>
      <w:r>
        <w:rPr>
          <w:rFonts w:hint="default" w:ascii="Times New Roman" w:hAnsi="Times New Roman" w:eastAsia="仿宋_GB2312" w:cs="Times New Roman"/>
          <w:kern w:val="0"/>
          <w:sz w:val="32"/>
          <w:szCs w:val="32"/>
          <w:highlight w:val="none"/>
        </w:rPr>
        <w:t>，根据相关规定</w:t>
      </w:r>
      <w:r>
        <w:rPr>
          <w:rFonts w:hint="default" w:ascii="Times New Roman" w:hAnsi="Times New Roman" w:eastAsia="仿宋_GB2312" w:cs="Times New Roman"/>
          <w:kern w:val="0"/>
          <w:sz w:val="32"/>
          <w:szCs w:val="32"/>
          <w:highlight w:val="none"/>
          <w:lang w:val="en-US" w:eastAsia="zh-CN"/>
        </w:rPr>
        <w:t>指定市属国有企业</w:t>
      </w:r>
      <w:r>
        <w:rPr>
          <w:rFonts w:hint="default" w:ascii="Times New Roman" w:hAnsi="Times New Roman" w:eastAsia="仿宋_GB2312" w:cs="Times New Roman"/>
          <w:kern w:val="0"/>
          <w:sz w:val="32"/>
          <w:szCs w:val="32"/>
          <w:highlight w:val="none"/>
        </w:rPr>
        <w:t>作为</w:t>
      </w:r>
      <w:r>
        <w:rPr>
          <w:rFonts w:hint="default" w:ascii="Times New Roman" w:hAnsi="Times New Roman" w:eastAsia="仿宋_GB2312" w:cs="Times New Roman"/>
          <w:kern w:val="0"/>
          <w:sz w:val="32"/>
          <w:szCs w:val="32"/>
          <w:highlight w:val="none"/>
          <w:lang w:val="en-US" w:eastAsia="zh-CN"/>
        </w:rPr>
        <w:t>出资人代表</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以下简称“</w:t>
      </w:r>
      <w:r>
        <w:rPr>
          <w:rFonts w:hint="default" w:ascii="Times New Roman" w:hAnsi="Times New Roman" w:eastAsia="仿宋_GB2312" w:cs="Times New Roman"/>
          <w:kern w:val="0"/>
          <w:sz w:val="32"/>
          <w:szCs w:val="32"/>
          <w:highlight w:val="none"/>
          <w:lang w:val="en-US" w:eastAsia="zh-CN"/>
        </w:rPr>
        <w:t>出资人代表</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发起设立，在市财政局、市地方金融管理局的指导下</w:t>
      </w:r>
      <w:r>
        <w:rPr>
          <w:rFonts w:hint="default" w:ascii="Times New Roman" w:hAnsi="Times New Roman" w:eastAsia="仿宋_GB2312" w:cs="Times New Roman"/>
          <w:kern w:val="0"/>
          <w:sz w:val="32"/>
          <w:szCs w:val="32"/>
          <w:highlight w:val="none"/>
        </w:rPr>
        <w:t>确保财政资金合规安全使用，对基金进行业务监管</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基金应在昆明市行政区域内注册。</w:t>
      </w:r>
      <w:r>
        <w:rPr>
          <w:rFonts w:hint="default" w:ascii="Times New Roman" w:hAnsi="Times New Roman" w:eastAsia="仿宋_GB2312" w:cs="Times New Roman"/>
          <w:kern w:val="0"/>
          <w:sz w:val="32"/>
          <w:szCs w:val="32"/>
          <w:highlight w:val="none"/>
          <w:lang w:val="en-US" w:eastAsia="zh-CN"/>
        </w:rPr>
        <w:t xml:space="preserve">  </w:t>
      </w:r>
    </w:p>
    <w:p w14:paraId="7CF21F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lang w:val="en-US" w:eastAsia="zh-CN"/>
        </w:rPr>
        <w:t>第四条  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sz w:val="32"/>
          <w:szCs w:val="32"/>
          <w:lang w:val="en-US" w:eastAsia="zh-CN"/>
        </w:rPr>
        <w:t>立足支持青年创业就业，</w:t>
      </w:r>
      <w:r>
        <w:rPr>
          <w:rFonts w:hint="default" w:ascii="Times New Roman" w:hAnsi="Times New Roman" w:eastAsia="仿宋_GB2312" w:cs="Times New Roman"/>
          <w:sz w:val="32"/>
          <w:szCs w:val="32"/>
          <w:highlight w:val="none"/>
        </w:rPr>
        <w:t>发挥财政资金的杠杆放大效应，</w:t>
      </w:r>
      <w:r>
        <w:rPr>
          <w:rFonts w:hint="default" w:ascii="Times New Roman" w:hAnsi="Times New Roman" w:eastAsia="仿宋_GB2312" w:cs="Times New Roman"/>
          <w:kern w:val="0"/>
          <w:sz w:val="32"/>
          <w:szCs w:val="32"/>
        </w:rPr>
        <w:t>孵化优质初创项目并依托项目挖掘区域创新潜力，重点投向契合昆明市政策导向、具备创新潜力、有市场前景、适配创业阶段、能带动就业且贴合区域特色的</w:t>
      </w:r>
      <w:r>
        <w:rPr>
          <w:rFonts w:hint="default" w:ascii="Times New Roman" w:hAnsi="Times New Roman" w:eastAsia="仿宋_GB2312" w:cs="Times New Roman"/>
          <w:kern w:val="0"/>
          <w:sz w:val="32"/>
          <w:szCs w:val="32"/>
          <w:highlight w:val="none"/>
        </w:rPr>
        <w:t>科技创新与数字经济</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大健康产业</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先进制造与新材料</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高原特色农业与乡村振兴</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现代服务业</w:t>
      </w:r>
      <w:r>
        <w:rPr>
          <w:rFonts w:hint="default" w:ascii="Times New Roman" w:hAnsi="Times New Roman" w:eastAsia="仿宋_GB2312" w:cs="Times New Roman"/>
          <w:kern w:val="0"/>
          <w:sz w:val="32"/>
          <w:szCs w:val="32"/>
          <w:highlight w:val="none"/>
          <w:lang w:val="en-US" w:eastAsia="zh-CN"/>
        </w:rPr>
        <w:t>等</w:t>
      </w:r>
      <w:r>
        <w:rPr>
          <w:rFonts w:hint="default" w:ascii="Times New Roman" w:hAnsi="Times New Roman" w:eastAsia="仿宋_GB2312" w:cs="Times New Roman"/>
          <w:kern w:val="0"/>
          <w:sz w:val="32"/>
          <w:szCs w:val="32"/>
          <w:highlight w:val="none"/>
        </w:rPr>
        <w:t>项目</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sz w:val="32"/>
          <w:szCs w:val="32"/>
          <w:highlight w:val="none"/>
        </w:rPr>
        <w:t>着力投早、投小、投长期、投硬科技。</w:t>
      </w:r>
    </w:p>
    <w:p w14:paraId="2E6EB368">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32"/>
          <w:lang w:val="en-US" w:eastAsia="zh-CN"/>
        </w:rPr>
        <w:t xml:space="preserve">第五条  </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创投基金按照“政府引导、市场运作、</w:t>
      </w:r>
      <w:r>
        <w:rPr>
          <w:rFonts w:hint="default" w:ascii="Times New Roman" w:hAnsi="Times New Roman" w:eastAsia="仿宋_GB2312" w:cs="Times New Roman"/>
          <w:sz w:val="32"/>
          <w:szCs w:val="32"/>
          <w:lang w:val="en-US" w:eastAsia="zh-CN"/>
        </w:rPr>
        <w:t>专业管理、</w:t>
      </w:r>
      <w:r>
        <w:rPr>
          <w:rFonts w:hint="default" w:ascii="Times New Roman" w:hAnsi="Times New Roman" w:eastAsia="仿宋_GB2312" w:cs="Times New Roman"/>
          <w:sz w:val="32"/>
          <w:szCs w:val="32"/>
        </w:rPr>
        <w:t>科学决策、防范风险”的原则进行投资运作</w:t>
      </w:r>
      <w:r>
        <w:rPr>
          <w:rFonts w:hint="default" w:ascii="Times New Roman" w:hAnsi="Times New Roman" w:eastAsia="仿宋_GB2312" w:cs="Times New Roman"/>
          <w:sz w:val="32"/>
          <w:szCs w:val="32"/>
          <w:lang w:eastAsia="zh-CN"/>
        </w:rPr>
        <w:t>，按照市场化、法治化、专业化原则规范运作，注重发挥实效。</w:t>
      </w:r>
    </w:p>
    <w:p w14:paraId="07932349">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第六条  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sz w:val="32"/>
          <w:szCs w:val="32"/>
          <w:lang w:val="en-US" w:eastAsia="zh-CN"/>
        </w:rPr>
        <w:t xml:space="preserve">严格遵守法律法规及有关政策文件规定，明确参与方权责关系，建立基金的管理制度和机制，健全风险防控体系。严格遵守廉洁纪律和财经纪律，确保基金运作廉洁高效。  </w:t>
      </w:r>
    </w:p>
    <w:p w14:paraId="47E8A2F8">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第七条　</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围绕支持青年创业的资源要素需求，通过基金集聚金融资源、产业资源、市场资源和人才资源，形成支撑青年创新创业的生态服务体系。</w:t>
      </w:r>
    </w:p>
    <w:p w14:paraId="00BC0264">
      <w:pPr>
        <w:keepNext w:val="0"/>
        <w:keepLines w:val="0"/>
        <w:pageBreakBefore w:val="0"/>
        <w:widowControl w:val="0"/>
        <w:kinsoku/>
        <w:wordWrap/>
        <w:overflowPunct/>
        <w:topLinePunct w:val="0"/>
        <w:autoSpaceDE/>
        <w:autoSpaceDN/>
        <w:bidi w:val="0"/>
        <w:adjustRightInd w:val="0"/>
        <w:snapToGrid w:val="0"/>
        <w:spacing w:line="560" w:lineRule="exact"/>
        <w:contextualSpacing/>
        <w:jc w:val="center"/>
        <w:textAlignment w:val="auto"/>
        <w:rPr>
          <w:rFonts w:hint="default" w:ascii="Times New Roman" w:hAnsi="Times New Roman" w:eastAsia="黑体" w:cs="Times New Roman"/>
          <w:kern w:val="0"/>
          <w:sz w:val="32"/>
          <w:szCs w:val="32"/>
          <w:lang w:val="en-US" w:eastAsia="zh-CN"/>
        </w:rPr>
      </w:pPr>
    </w:p>
    <w:p w14:paraId="19AA6201">
      <w:pPr>
        <w:keepNext w:val="0"/>
        <w:keepLines w:val="0"/>
        <w:pageBreakBefore w:val="0"/>
        <w:widowControl w:val="0"/>
        <w:kinsoku/>
        <w:wordWrap/>
        <w:overflowPunct/>
        <w:topLinePunct w:val="0"/>
        <w:autoSpaceDE/>
        <w:autoSpaceDN/>
        <w:bidi w:val="0"/>
        <w:adjustRightInd w:val="0"/>
        <w:snapToGrid w:val="0"/>
        <w:spacing w:line="560" w:lineRule="exact"/>
        <w:contextualSpacing/>
        <w:jc w:val="center"/>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第二章　管理架构和职责分工</w:t>
      </w:r>
    </w:p>
    <w:p w14:paraId="4B54989C">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p>
    <w:p w14:paraId="58087329">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第八条　</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kern w:val="0"/>
          <w:sz w:val="32"/>
          <w:szCs w:val="32"/>
          <w:lang w:val="en-US" w:eastAsia="zh-CN"/>
        </w:rPr>
        <w:t>管理架构主要包括共青团昆明市委、出资人代表和基金管理机构，根据法律法规及有关政策文件规定，各司其职、各负其责，建立健全基金运作全过程的管理制度和机制。</w:t>
      </w:r>
    </w:p>
    <w:p w14:paraId="494B743B">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第九条　共青团昆明市委主要职责：</w:t>
      </w:r>
    </w:p>
    <w:p w14:paraId="39B3A4BD">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（一）会同市财政局将市级财政资金完成基金出资；</w:t>
      </w:r>
    </w:p>
    <w:p w14:paraId="43AA92DA">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（二）指导出资人代表制定</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管理办法、绩效评价制度、容错制度等基金运作制度；</w:t>
      </w:r>
    </w:p>
    <w:p w14:paraId="209B8EC5">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（三）建立动态开放的</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项目储备库；</w:t>
      </w:r>
    </w:p>
    <w:p w14:paraId="3D477D84">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（四）按规定指定市属国有企业或开展市场化遴选确定基金管理机构；</w:t>
      </w:r>
    </w:p>
    <w:p w14:paraId="0CEC72C1">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（五）组建项目专家</w:t>
      </w:r>
      <w:r>
        <w:rPr>
          <w:rFonts w:hint="eastAsia" w:ascii="Times New Roman" w:hAnsi="Times New Roman" w:eastAsia="仿宋_GB2312" w:cs="Times New Roman"/>
          <w:kern w:val="0"/>
          <w:sz w:val="32"/>
          <w:szCs w:val="32"/>
          <w:lang w:val="en-US" w:eastAsia="zh-CN"/>
        </w:rPr>
        <w:t>评审</w:t>
      </w:r>
      <w:r>
        <w:rPr>
          <w:rFonts w:hint="default" w:ascii="Times New Roman" w:hAnsi="Times New Roman" w:eastAsia="仿宋_GB2312" w:cs="Times New Roman"/>
          <w:kern w:val="0"/>
          <w:sz w:val="32"/>
          <w:szCs w:val="32"/>
          <w:lang w:val="en-US" w:eastAsia="zh-CN"/>
        </w:rPr>
        <w:t>委员会（以下简称“专委</w:t>
      </w:r>
      <w:r>
        <w:rPr>
          <w:rFonts w:hint="eastAsia" w:ascii="Times New Roman" w:hAnsi="Times New Roman" w:eastAsia="仿宋_GB2312" w:cs="Times New Roman"/>
          <w:kern w:val="0"/>
          <w:sz w:val="32"/>
          <w:szCs w:val="32"/>
          <w:lang w:val="en-US" w:eastAsia="zh-CN"/>
        </w:rPr>
        <w:t>会</w:t>
      </w:r>
      <w:r>
        <w:rPr>
          <w:rFonts w:hint="default" w:ascii="Times New Roman" w:hAnsi="Times New Roman" w:eastAsia="仿宋_GB2312" w:cs="Times New Roman"/>
          <w:kern w:val="0"/>
          <w:sz w:val="32"/>
          <w:szCs w:val="32"/>
          <w:lang w:val="en-US" w:eastAsia="zh-CN"/>
        </w:rPr>
        <w:t>”）；</w:t>
      </w:r>
    </w:p>
    <w:p w14:paraId="5D9C949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（六）选派观察员；</w:t>
      </w:r>
    </w:p>
    <w:p w14:paraId="4AF3DF65">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（七）遴选</w:t>
      </w:r>
      <w:r>
        <w:rPr>
          <w:rFonts w:hint="default" w:ascii="Times New Roman" w:hAnsi="Times New Roman" w:eastAsia="仿宋_GB2312" w:cs="Times New Roman"/>
          <w:color w:val="auto"/>
          <w:sz w:val="32"/>
          <w:szCs w:val="32"/>
        </w:rPr>
        <w:t>基金</w:t>
      </w:r>
      <w:r>
        <w:rPr>
          <w:rFonts w:hint="default" w:ascii="Times New Roman" w:hAnsi="Times New Roman" w:eastAsia="仿宋_GB2312" w:cs="Times New Roman"/>
          <w:color w:val="auto"/>
          <w:kern w:val="0"/>
          <w:sz w:val="32"/>
          <w:szCs w:val="32"/>
          <w:lang w:val="en-US" w:eastAsia="zh-CN"/>
        </w:rPr>
        <w:t>托管银行；</w:t>
      </w:r>
    </w:p>
    <w:p w14:paraId="30FE317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（八）组织开展</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绩效评价及结果应用；</w:t>
      </w:r>
    </w:p>
    <w:p w14:paraId="71245A5E">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（九）负责对</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总体运营情况进行全过程监督指导，督促基金投资进度，定期收集分析基金运营情况向市人民政府报告。</w:t>
      </w:r>
    </w:p>
    <w:p w14:paraId="124D7CE9">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第十条　</w:t>
      </w:r>
      <w:r>
        <w:rPr>
          <w:rFonts w:hint="default" w:ascii="Times New Roman" w:hAnsi="Times New Roman" w:eastAsia="仿宋_GB2312" w:cs="Times New Roman"/>
          <w:kern w:val="0"/>
          <w:sz w:val="32"/>
          <w:szCs w:val="32"/>
          <w:highlight w:val="none"/>
          <w:lang w:eastAsia="zh-CN"/>
        </w:rPr>
        <w:t>出资人</w:t>
      </w:r>
      <w:r>
        <w:rPr>
          <w:rFonts w:hint="default" w:ascii="Times New Roman" w:hAnsi="Times New Roman" w:eastAsia="仿宋_GB2312" w:cs="Times New Roman"/>
          <w:kern w:val="0"/>
          <w:sz w:val="32"/>
          <w:szCs w:val="32"/>
          <w:highlight w:val="none"/>
          <w:lang w:val="en-US" w:eastAsia="zh-CN"/>
        </w:rPr>
        <w:t>代表</w:t>
      </w:r>
      <w:r>
        <w:rPr>
          <w:rFonts w:hint="default" w:ascii="Times New Roman" w:hAnsi="Times New Roman" w:eastAsia="仿宋_GB2312" w:cs="Times New Roman"/>
          <w:kern w:val="0"/>
          <w:sz w:val="32"/>
          <w:szCs w:val="32"/>
          <w:highlight w:val="none"/>
        </w:rPr>
        <w:t>具体承接</w:t>
      </w:r>
      <w:r>
        <w:rPr>
          <w:rFonts w:hint="default" w:ascii="Times New Roman" w:hAnsi="Times New Roman" w:eastAsia="仿宋_GB2312" w:cs="Times New Roman"/>
          <w:kern w:val="0"/>
          <w:sz w:val="32"/>
          <w:szCs w:val="32"/>
          <w:highlight w:val="none"/>
          <w:lang w:val="en-US" w:eastAsia="zh-CN"/>
        </w:rPr>
        <w:t>财政</w:t>
      </w:r>
      <w:r>
        <w:rPr>
          <w:rFonts w:hint="default" w:ascii="Times New Roman" w:hAnsi="Times New Roman" w:eastAsia="仿宋_GB2312" w:cs="Times New Roman"/>
          <w:kern w:val="0"/>
          <w:sz w:val="32"/>
          <w:szCs w:val="32"/>
          <w:highlight w:val="none"/>
        </w:rPr>
        <w:t>资金，主要职责包括：</w:t>
      </w:r>
    </w:p>
    <w:p w14:paraId="64A88A35">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（一）履行出资人代表职责，对</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w:t>
      </w:r>
      <w:r>
        <w:rPr>
          <w:rFonts w:hint="default" w:ascii="Times New Roman" w:hAnsi="Times New Roman" w:eastAsia="仿宋_GB2312" w:cs="Times New Roman"/>
          <w:kern w:val="0"/>
          <w:sz w:val="32"/>
          <w:szCs w:val="32"/>
          <w:lang w:val="en-US" w:eastAsia="zh-CN"/>
        </w:rPr>
        <w:t>基金日常运作进行监管和指导，督促符合第四条规定的投资项目纳入专委</w:t>
      </w:r>
      <w:r>
        <w:rPr>
          <w:rFonts w:hint="eastAsia" w:ascii="Times New Roman" w:hAnsi="Times New Roman" w:eastAsia="仿宋_GB2312" w:cs="Times New Roman"/>
          <w:kern w:val="0"/>
          <w:sz w:val="32"/>
          <w:szCs w:val="32"/>
          <w:lang w:val="en-US" w:eastAsia="zh-CN"/>
        </w:rPr>
        <w:t>会</w:t>
      </w:r>
      <w:r>
        <w:rPr>
          <w:rFonts w:hint="default" w:ascii="Times New Roman" w:hAnsi="Times New Roman" w:eastAsia="仿宋_GB2312" w:cs="Times New Roman"/>
          <w:kern w:val="0"/>
          <w:sz w:val="32"/>
          <w:szCs w:val="32"/>
          <w:lang w:val="en-US" w:eastAsia="zh-CN"/>
        </w:rPr>
        <w:t>研究；</w:t>
      </w:r>
    </w:p>
    <w:p w14:paraId="40C4C698">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（二）组建</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投资决策委员会（以下简称“投决会”），并开展投资决策；</w:t>
      </w:r>
    </w:p>
    <w:p w14:paraId="32BAC245">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（三）监管和指导</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管理机构建立科学的投资决策和风险约束机制；</w:t>
      </w:r>
    </w:p>
    <w:p w14:paraId="39030A3E">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highlight w:val="none"/>
        </w:rPr>
        <w:t>拟定基金的绩效考核管理办法等相关制度，</w:t>
      </w:r>
      <w:r>
        <w:rPr>
          <w:rFonts w:hint="default" w:ascii="Times New Roman" w:hAnsi="Times New Roman" w:eastAsia="仿宋_GB2312" w:cs="Times New Roman"/>
          <w:kern w:val="0"/>
          <w:sz w:val="32"/>
          <w:szCs w:val="32"/>
          <w:lang w:val="en-US" w:eastAsia="zh-CN"/>
        </w:rPr>
        <w:t>组织开展</w:t>
      </w:r>
      <w:r>
        <w:rPr>
          <w:rFonts w:hint="default" w:ascii="Times New Roman" w:hAnsi="Times New Roman" w:eastAsia="仿宋_GB2312" w:cs="Times New Roman"/>
          <w:sz w:val="32"/>
          <w:szCs w:val="32"/>
        </w:rPr>
        <w:t>基金</w:t>
      </w:r>
      <w:r>
        <w:rPr>
          <w:rFonts w:hint="default" w:ascii="Times New Roman" w:hAnsi="Times New Roman" w:eastAsia="仿宋_GB2312" w:cs="Times New Roman"/>
          <w:kern w:val="0"/>
          <w:sz w:val="32"/>
          <w:szCs w:val="32"/>
          <w:lang w:val="en-US" w:eastAsia="zh-CN"/>
        </w:rPr>
        <w:t>绩效评价的具体工作；</w:t>
      </w:r>
    </w:p>
    <w:p w14:paraId="39460128">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（五）定期向共青团昆明市委报送</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政策引导效果、出资变动、投资回报、管理费用、资产负债、投资损益等运行情况及可能影响投资者权益的其他重大情况；</w:t>
      </w:r>
    </w:p>
    <w:p w14:paraId="3F485FBC">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（六）负责政府出资所形成</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资产管理，并按规定进行会计核算与报告。</w:t>
      </w:r>
    </w:p>
    <w:p w14:paraId="452F8F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七</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其它相关工作。</w:t>
      </w:r>
    </w:p>
    <w:p w14:paraId="4A00B3BA">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第十一条　</w:t>
      </w:r>
      <w:r>
        <w:rPr>
          <w:rFonts w:hint="default" w:ascii="Times New Roman" w:hAnsi="Times New Roman" w:eastAsia="仿宋_GB2312" w:cs="Times New Roman"/>
          <w:sz w:val="32"/>
          <w:szCs w:val="32"/>
        </w:rPr>
        <w:t>基金</w:t>
      </w:r>
      <w:r>
        <w:rPr>
          <w:rFonts w:hint="default" w:ascii="Times New Roman" w:hAnsi="Times New Roman" w:eastAsia="仿宋_GB2312" w:cs="Times New Roman"/>
          <w:kern w:val="0"/>
          <w:sz w:val="32"/>
          <w:szCs w:val="32"/>
          <w:lang w:val="en-US" w:eastAsia="zh-CN"/>
        </w:rPr>
        <w:t>管理机构主要职责：</w:t>
      </w:r>
    </w:p>
    <w:p w14:paraId="29C5491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eastAsia"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（一）</w:t>
      </w:r>
      <w:r>
        <w:rPr>
          <w:rFonts w:hint="eastAsia" w:ascii="Times New Roman" w:hAnsi="Times New Roman" w:eastAsia="仿宋_GB2312" w:cs="Times New Roman"/>
          <w:kern w:val="0"/>
          <w:sz w:val="32"/>
          <w:szCs w:val="32"/>
          <w:lang w:val="en-US" w:eastAsia="zh-CN"/>
        </w:rPr>
        <w:t>负责办理基金工商注册、备案等手续，确保基金合规运营；</w:t>
      </w:r>
    </w:p>
    <w:p w14:paraId="7762EC12">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（二）</w:t>
      </w:r>
      <w:r>
        <w:rPr>
          <w:rFonts w:hint="default" w:ascii="Times New Roman" w:hAnsi="Times New Roman" w:eastAsia="仿宋_GB2312" w:cs="Times New Roman"/>
          <w:kern w:val="0"/>
          <w:sz w:val="32"/>
          <w:szCs w:val="32"/>
          <w:lang w:val="en-US" w:eastAsia="zh-CN"/>
        </w:rPr>
        <w:t>依法募集资金，对基金资金实行专户管理、专账核算；</w:t>
      </w:r>
    </w:p>
    <w:p w14:paraId="0EDB5AF4">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三</w:t>
      </w:r>
      <w:r>
        <w:rPr>
          <w:rFonts w:hint="default" w:ascii="Times New Roman" w:hAnsi="Times New Roman" w:eastAsia="仿宋_GB2312" w:cs="Times New Roman"/>
          <w:kern w:val="0"/>
          <w:sz w:val="32"/>
          <w:szCs w:val="32"/>
          <w:lang w:val="en-US" w:eastAsia="zh-CN"/>
        </w:rPr>
        <w:t>）建立健全规范的“募投管退”及风险防控等管理制度和机制；</w:t>
      </w:r>
    </w:p>
    <w:p w14:paraId="1082FE9A">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lang w:val="en-US" w:eastAsia="zh-CN"/>
        </w:rPr>
        <w:t>）开展项目立项、尽职调查、提出投资建议，制定投资方案，提交</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投决会独立决策；</w:t>
      </w:r>
    </w:p>
    <w:p w14:paraId="6649BB2F">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五</w:t>
      </w:r>
      <w:r>
        <w:rPr>
          <w:rFonts w:hint="default" w:ascii="Times New Roman" w:hAnsi="Times New Roman" w:eastAsia="仿宋_GB2312" w:cs="Times New Roman"/>
          <w:kern w:val="0"/>
          <w:sz w:val="32"/>
          <w:szCs w:val="32"/>
          <w:lang w:val="en-US" w:eastAsia="zh-CN"/>
        </w:rPr>
        <w:t>）参加</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投决会并执行其决策，开展投资谈判、协议签署、投后管理及退出等事宜；</w:t>
      </w:r>
    </w:p>
    <w:p w14:paraId="25469D5F">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六</w:t>
      </w:r>
      <w:r>
        <w:rPr>
          <w:rFonts w:hint="default" w:ascii="Times New Roman" w:hAnsi="Times New Roman" w:eastAsia="仿宋_GB2312" w:cs="Times New Roman"/>
          <w:kern w:val="0"/>
          <w:sz w:val="32"/>
          <w:szCs w:val="32"/>
          <w:lang w:val="en-US" w:eastAsia="zh-CN"/>
        </w:rPr>
        <w:t>）按监管要求开展</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w:t>
      </w:r>
      <w:r>
        <w:rPr>
          <w:rFonts w:hint="eastAsia" w:ascii="Times New Roman" w:hAnsi="Times New Roman" w:eastAsia="仿宋_GB2312" w:cs="Times New Roman"/>
          <w:sz w:val="32"/>
          <w:szCs w:val="32"/>
          <w:lang w:eastAsia="zh-CN"/>
        </w:rPr>
        <w:t>基金</w:t>
      </w:r>
      <w:r>
        <w:rPr>
          <w:rFonts w:hint="default" w:ascii="Times New Roman" w:hAnsi="Times New Roman" w:eastAsia="仿宋_GB2312" w:cs="Times New Roman"/>
          <w:kern w:val="0"/>
          <w:sz w:val="32"/>
          <w:szCs w:val="32"/>
          <w:lang w:val="en-US" w:eastAsia="zh-CN"/>
        </w:rPr>
        <w:t>信息披露、投资运作、日常管理和信息服务等工作；</w:t>
      </w:r>
    </w:p>
    <w:p w14:paraId="3DF045F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七</w:t>
      </w:r>
      <w:r>
        <w:rPr>
          <w:rFonts w:hint="default" w:ascii="Times New Roman" w:hAnsi="Times New Roman" w:eastAsia="仿宋_GB2312" w:cs="Times New Roman"/>
          <w:kern w:val="0"/>
          <w:sz w:val="32"/>
          <w:szCs w:val="32"/>
          <w:lang w:val="en-US" w:eastAsia="zh-CN"/>
        </w:rPr>
        <w:t>）对子基金开展绩效评价。</w:t>
      </w:r>
    </w:p>
    <w:p w14:paraId="191778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FF0000"/>
          <w:sz w:val="32"/>
          <w:szCs w:val="32"/>
          <w:highlight w:val="none"/>
          <w:lang w:val="en-US" w:eastAsia="zh-CN"/>
        </w:rPr>
      </w:pPr>
      <w:r>
        <w:rPr>
          <w:rFonts w:hint="default"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八</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其它相关工作。</w:t>
      </w:r>
      <w:r>
        <w:rPr>
          <w:rFonts w:hint="default" w:ascii="Times New Roman" w:hAnsi="Times New Roman" w:eastAsia="仿宋_GB2312" w:cs="Times New Roman"/>
          <w:color w:val="FF0000"/>
          <w:sz w:val="32"/>
          <w:szCs w:val="32"/>
          <w:highlight w:val="none"/>
          <w:lang w:val="en-US" w:eastAsia="zh-CN"/>
        </w:rPr>
        <w:t xml:space="preserve"> </w:t>
      </w:r>
    </w:p>
    <w:p w14:paraId="19F669A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仿宋_GB2312" w:cs="Times New Roman"/>
          <w:sz w:val="32"/>
          <w:szCs w:val="32"/>
          <w:highlight w:val="none"/>
        </w:rPr>
      </w:pPr>
    </w:p>
    <w:p w14:paraId="6C28728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黑体" w:cs="Times New Roman"/>
          <w:b w:val="0"/>
          <w:bCs/>
          <w:sz w:val="32"/>
          <w:szCs w:val="32"/>
        </w:rPr>
      </w:pPr>
      <w:r>
        <w:rPr>
          <w:rStyle w:val="9"/>
          <w:rFonts w:hint="default" w:ascii="Times New Roman" w:hAnsi="Times New Roman" w:eastAsia="黑体" w:cs="Times New Roman"/>
          <w:b w:val="0"/>
          <w:bCs/>
          <w:sz w:val="32"/>
          <w:szCs w:val="32"/>
        </w:rPr>
        <w:t>第三章　基金设立</w:t>
      </w:r>
    </w:p>
    <w:p w14:paraId="6CDD669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default" w:ascii="Times New Roman" w:hAnsi="Times New Roman" w:cs="Times New Roman"/>
        </w:rPr>
      </w:pPr>
    </w:p>
    <w:p w14:paraId="35CD885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kern w:val="0"/>
          <w:sz w:val="32"/>
          <w:szCs w:val="32"/>
          <w:lang w:val="en-US" w:eastAsia="zh-CN"/>
        </w:rPr>
        <w:t>第十二条　</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依法注册成立，采取认缴制，由共青团昆明市委指定出资人代表，政府出资根据年度预算、基金投资进度、实际用款需求和绩效评价结果等情况分期实缴到位。</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管理</w:t>
      </w:r>
      <w:r>
        <w:rPr>
          <w:rFonts w:hint="default" w:ascii="Times New Roman" w:hAnsi="Times New Roman" w:eastAsia="仿宋_GB2312" w:cs="Times New Roman"/>
          <w:color w:val="auto"/>
          <w:kern w:val="0"/>
          <w:sz w:val="32"/>
          <w:szCs w:val="32"/>
          <w:lang w:val="en-US" w:eastAsia="zh-CN"/>
        </w:rPr>
        <w:t>机构认缴出资10万元。</w:t>
      </w:r>
    </w:p>
    <w:p w14:paraId="114460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kern w:val="0"/>
          <w:sz w:val="32"/>
          <w:szCs w:val="32"/>
          <w:lang w:val="en-US" w:eastAsia="zh-CN"/>
        </w:rPr>
        <w:t>第十</w:t>
      </w:r>
      <w:r>
        <w:rPr>
          <w:rFonts w:hint="eastAsia" w:ascii="Times New Roman" w:hAnsi="Times New Roman" w:eastAsia="仿宋_GB2312" w:cs="Times New Roman"/>
          <w:color w:val="auto"/>
          <w:kern w:val="0"/>
          <w:sz w:val="32"/>
          <w:szCs w:val="32"/>
          <w:lang w:val="en-US" w:eastAsia="zh-CN"/>
        </w:rPr>
        <w:t>三</w:t>
      </w:r>
      <w:r>
        <w:rPr>
          <w:rFonts w:hint="default" w:ascii="Times New Roman" w:hAnsi="Times New Roman" w:eastAsia="仿宋_GB2312" w:cs="Times New Roman"/>
          <w:color w:val="auto"/>
          <w:kern w:val="0"/>
          <w:sz w:val="32"/>
          <w:szCs w:val="32"/>
          <w:lang w:val="en-US" w:eastAsia="zh-CN"/>
        </w:rPr>
        <w:t>条　</w:t>
      </w:r>
      <w:r>
        <w:rPr>
          <w:rFonts w:hint="default" w:ascii="Times New Roman" w:hAnsi="Times New Roman" w:eastAsia="仿宋_GB2312" w:cs="Times New Roman"/>
          <w:color w:val="auto"/>
          <w:sz w:val="32"/>
          <w:szCs w:val="32"/>
          <w:highlight w:val="none"/>
        </w:rPr>
        <w:t>基金</w:t>
      </w:r>
      <w:r>
        <w:rPr>
          <w:rFonts w:hint="default" w:ascii="Times New Roman" w:hAnsi="Times New Roman" w:eastAsia="仿宋_GB2312" w:cs="Times New Roman"/>
          <w:color w:val="auto"/>
          <w:sz w:val="32"/>
          <w:szCs w:val="32"/>
          <w:highlight w:val="none"/>
          <w:lang w:val="en-US" w:eastAsia="zh-CN"/>
        </w:rPr>
        <w:t>存续</w:t>
      </w:r>
      <w:r>
        <w:rPr>
          <w:rFonts w:hint="default" w:ascii="Times New Roman" w:hAnsi="Times New Roman" w:eastAsia="仿宋_GB2312" w:cs="Times New Roman"/>
          <w:color w:val="auto"/>
          <w:sz w:val="32"/>
          <w:szCs w:val="32"/>
          <w:highlight w:val="none"/>
        </w:rPr>
        <w:t>期限为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kern w:val="0"/>
          <w:sz w:val="32"/>
          <w:szCs w:val="32"/>
          <w:lang w:val="en-US" w:eastAsia="zh-CN"/>
        </w:rPr>
        <w:t>（自基金完成备案之日起计算）。</w:t>
      </w:r>
      <w:r>
        <w:rPr>
          <w:rFonts w:hint="default" w:ascii="Times New Roman" w:hAnsi="Times New Roman" w:eastAsia="仿宋_GB2312" w:cs="Times New Roman"/>
          <w:color w:val="auto"/>
          <w:sz w:val="32"/>
          <w:szCs w:val="32"/>
          <w:highlight w:val="none"/>
        </w:rPr>
        <w:t>其</w:t>
      </w:r>
      <w:r>
        <w:rPr>
          <w:rFonts w:hint="default" w:ascii="Times New Roman" w:hAnsi="Times New Roman" w:eastAsia="仿宋_GB2312" w:cs="Times New Roman"/>
          <w:sz w:val="32"/>
          <w:szCs w:val="32"/>
          <w:highlight w:val="none"/>
        </w:rPr>
        <w:t>中：投资期</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年，退出期</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延长期1年</w:t>
      </w:r>
      <w:r>
        <w:rPr>
          <w:rFonts w:hint="default" w:ascii="Times New Roman" w:hAnsi="Times New Roman" w:eastAsia="仿宋_GB2312" w:cs="Times New Roman"/>
          <w:sz w:val="32"/>
          <w:szCs w:val="32"/>
          <w:highlight w:val="none"/>
        </w:rPr>
        <w:t>。根据需要，经各方协商一致并报经昆明市政府批准，可以另行约定延长年限。</w:t>
      </w:r>
    </w:p>
    <w:p w14:paraId="0F76CE13">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第十</w:t>
      </w:r>
      <w:r>
        <w:rPr>
          <w:rFonts w:hint="eastAsia"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lang w:val="en-US" w:eastAsia="zh-CN"/>
        </w:rPr>
        <w:t>条　</w:t>
      </w:r>
      <w:r>
        <w:rPr>
          <w:rFonts w:hint="default" w:ascii="Times New Roman" w:hAnsi="Times New Roman" w:eastAsia="仿宋_GB2312" w:cs="Times New Roman"/>
          <w:sz w:val="32"/>
          <w:szCs w:val="32"/>
          <w:lang w:val="en-US"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管理机构按照相关规定，由行业主管部门指导在全国范围内采取市场化方式遴选确定子基金管理机构。对于社会资本参与投资的子基金，可采用一个普通合伙人或两个普通合伙人的模式。</w:t>
      </w:r>
    </w:p>
    <w:p w14:paraId="156C5DE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default" w:ascii="Times New Roman" w:hAnsi="Times New Roman" w:cs="Times New Roman"/>
        </w:rPr>
      </w:pPr>
    </w:p>
    <w:p w14:paraId="5CE8170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黑体" w:cs="Times New Roman"/>
          <w:b w:val="0"/>
          <w:bCs/>
          <w:sz w:val="32"/>
          <w:szCs w:val="32"/>
        </w:rPr>
      </w:pPr>
      <w:r>
        <w:rPr>
          <w:rStyle w:val="9"/>
          <w:rFonts w:hint="default" w:ascii="Times New Roman" w:hAnsi="Times New Roman" w:eastAsia="黑体" w:cs="Times New Roman"/>
          <w:b w:val="0"/>
          <w:bCs/>
          <w:sz w:val="32"/>
          <w:szCs w:val="32"/>
        </w:rPr>
        <w:t>第四章　基金投资运作</w:t>
      </w:r>
    </w:p>
    <w:p w14:paraId="4CC663E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Style w:val="9"/>
          <w:rFonts w:hint="default" w:ascii="Times New Roman" w:hAnsi="Times New Roman" w:cs="Times New Roman"/>
        </w:rPr>
      </w:pPr>
    </w:p>
    <w:p w14:paraId="60C85401">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 xml:space="preserve">第十五条  </w:t>
      </w:r>
      <w:r>
        <w:rPr>
          <w:rFonts w:hint="default" w:ascii="Times New Roman" w:hAnsi="Times New Roman" w:eastAsia="仿宋_GB2312" w:cs="Times New Roman"/>
          <w:kern w:val="0"/>
          <w:sz w:val="32"/>
          <w:szCs w:val="32"/>
          <w:lang w:val="en-US" w:eastAsia="zh-CN" w:bidi="ar-SA"/>
        </w:rPr>
        <w:t>青年人才创投基金可采用直投项目或设立子基金的运作方式。直接投资项目金额不超过青年人才创投基金认缴规模的10%，不得对所投资项目控股，且不为第一大股东。母基金对创业投资类子基金出资不超过子基金认缴规模的60%。</w:t>
      </w:r>
    </w:p>
    <w:p w14:paraId="379FACC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第十</w:t>
      </w:r>
      <w:r>
        <w:rPr>
          <w:rFonts w:hint="eastAsia" w:ascii="Times New Roman" w:hAnsi="Times New Roman" w:eastAsia="仿宋_GB2312" w:cs="Times New Roman"/>
          <w:kern w:val="0"/>
          <w:sz w:val="32"/>
          <w:szCs w:val="32"/>
          <w:lang w:val="en-US" w:eastAsia="zh-CN" w:bidi="ar-SA"/>
        </w:rPr>
        <w:t>六</w:t>
      </w:r>
      <w:r>
        <w:rPr>
          <w:rFonts w:hint="default" w:ascii="Times New Roman" w:hAnsi="Times New Roman" w:eastAsia="仿宋_GB2312" w:cs="Times New Roman"/>
          <w:kern w:val="0"/>
          <w:sz w:val="32"/>
          <w:szCs w:val="32"/>
          <w:lang w:val="en-US" w:eastAsia="zh-CN" w:bidi="ar-SA"/>
        </w:rPr>
        <w:t>条　青年人才创投</w:t>
      </w:r>
      <w:r>
        <w:rPr>
          <w:rFonts w:hint="eastAsia" w:ascii="Times New Roman" w:hAnsi="Times New Roman" w:eastAsia="仿宋_GB2312" w:cs="Times New Roman"/>
          <w:kern w:val="0"/>
          <w:sz w:val="32"/>
          <w:szCs w:val="32"/>
          <w:lang w:val="en-US" w:eastAsia="zh-CN" w:bidi="ar-SA"/>
        </w:rPr>
        <w:t>基金</w:t>
      </w:r>
      <w:r>
        <w:rPr>
          <w:rFonts w:hint="default" w:ascii="Times New Roman" w:hAnsi="Times New Roman" w:eastAsia="仿宋_GB2312" w:cs="Times New Roman"/>
          <w:kern w:val="0"/>
          <w:sz w:val="32"/>
          <w:szCs w:val="32"/>
          <w:lang w:val="en-US" w:eastAsia="zh-CN" w:bidi="ar-SA"/>
        </w:rPr>
        <w:t>存续期内，在昆明市内投资金额不低于政府实缴出资额。</w:t>
      </w:r>
    </w:p>
    <w:p w14:paraId="27BDB7B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w:t>
      </w:r>
      <w:r>
        <w:rPr>
          <w:rFonts w:hint="eastAsia" w:ascii="Times New Roman" w:hAnsi="Times New Roman" w:eastAsia="仿宋_GB2312" w:cs="Times New Roman"/>
          <w:kern w:val="0"/>
          <w:sz w:val="32"/>
          <w:szCs w:val="32"/>
          <w:lang w:val="en-US" w:eastAsia="zh-CN" w:bidi="ar-SA"/>
        </w:rPr>
        <w:t>十七</w:t>
      </w:r>
      <w:r>
        <w:rPr>
          <w:rFonts w:hint="default" w:ascii="Times New Roman" w:hAnsi="Times New Roman" w:eastAsia="仿宋_GB2312" w:cs="Times New Roman"/>
          <w:kern w:val="0"/>
          <w:sz w:val="32"/>
          <w:szCs w:val="32"/>
          <w:lang w:val="en-US" w:eastAsia="zh-CN" w:bidi="ar-SA"/>
        </w:rPr>
        <w:t>条　共青团昆明市委建立青年人才创投基金项目库，指导相关主体做好项目征集、初筛，组织专委</w:t>
      </w:r>
      <w:r>
        <w:rPr>
          <w:rFonts w:hint="eastAsia" w:ascii="Times New Roman" w:hAnsi="Times New Roman" w:eastAsia="仿宋_GB2312" w:cs="Times New Roman"/>
          <w:kern w:val="0"/>
          <w:sz w:val="32"/>
          <w:szCs w:val="32"/>
          <w:lang w:val="en-US" w:eastAsia="zh-CN" w:bidi="ar-SA"/>
        </w:rPr>
        <w:t>会</w:t>
      </w:r>
      <w:r>
        <w:rPr>
          <w:rFonts w:hint="default" w:ascii="Times New Roman" w:hAnsi="Times New Roman" w:eastAsia="仿宋_GB2312" w:cs="Times New Roman"/>
          <w:kern w:val="0"/>
          <w:sz w:val="32"/>
          <w:szCs w:val="32"/>
          <w:lang w:val="en-US" w:eastAsia="zh-CN" w:bidi="ar-SA"/>
        </w:rPr>
        <w:t>等相关会议，形成战略咨询建议，并推送至基金管理机构。</w:t>
      </w:r>
    </w:p>
    <w:p w14:paraId="236F11D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highlight w:val="none"/>
        </w:rPr>
        <w:t>第</w:t>
      </w:r>
      <w:r>
        <w:rPr>
          <w:rFonts w:hint="default" w:ascii="Times New Roman" w:hAnsi="Times New Roman" w:eastAsia="仿宋_GB2312" w:cs="Times New Roman"/>
          <w:color w:val="auto"/>
          <w:sz w:val="32"/>
          <w:szCs w:val="32"/>
          <w:highlight w:val="none"/>
          <w:lang w:val="en-US" w:eastAsia="zh-CN"/>
        </w:rPr>
        <w:t>十</w:t>
      </w:r>
      <w:r>
        <w:rPr>
          <w:rFonts w:hint="eastAsia" w:ascii="Times New Roman" w:hAnsi="Times New Roman"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rPr>
        <w:t xml:space="preserve">条 </w:t>
      </w:r>
      <w:r>
        <w:rPr>
          <w:rFonts w:hint="default" w:ascii="Times New Roman" w:hAnsi="Times New Roman" w:eastAsia="仿宋_GB2312" w:cs="Times New Roman"/>
          <w:color w:val="auto"/>
          <w:sz w:val="32"/>
          <w:szCs w:val="32"/>
          <w:highlight w:val="none"/>
          <w:lang w:val="en-US" w:eastAsia="zh-CN"/>
        </w:rPr>
        <w:t xml:space="preserve"> 基金</w:t>
      </w:r>
      <w:r>
        <w:rPr>
          <w:rFonts w:hint="default" w:ascii="Times New Roman" w:hAnsi="Times New Roman" w:eastAsia="仿宋_GB2312" w:cs="Times New Roman"/>
          <w:color w:val="auto"/>
          <w:sz w:val="32"/>
          <w:szCs w:val="32"/>
          <w:highlight w:val="none"/>
        </w:rPr>
        <w:t>专家评审委员会负责对</w:t>
      </w:r>
      <w:r>
        <w:rPr>
          <w:rFonts w:hint="default" w:ascii="Times New Roman" w:hAnsi="Times New Roman" w:eastAsia="仿宋_GB2312" w:cs="Times New Roman"/>
          <w:color w:val="auto"/>
          <w:sz w:val="32"/>
          <w:szCs w:val="32"/>
          <w:highlight w:val="none"/>
          <w:lang w:val="en-US" w:eastAsia="zh-CN"/>
        </w:rPr>
        <w:t>青年人才</w:t>
      </w:r>
      <w:r>
        <w:rPr>
          <w:rFonts w:hint="default" w:ascii="Times New Roman" w:hAnsi="Times New Roman" w:eastAsia="仿宋_GB2312" w:cs="Times New Roman"/>
          <w:color w:val="auto"/>
          <w:sz w:val="32"/>
          <w:szCs w:val="32"/>
          <w:highlight w:val="none"/>
        </w:rPr>
        <w:t>创投基金拟投资方案进行独立评审，以确保</w:t>
      </w:r>
      <w:r>
        <w:rPr>
          <w:rFonts w:hint="default" w:ascii="Times New Roman" w:hAnsi="Times New Roman" w:eastAsia="仿宋_GB2312" w:cs="Times New Roman"/>
          <w:color w:val="auto"/>
          <w:sz w:val="32"/>
          <w:szCs w:val="32"/>
          <w:highlight w:val="none"/>
          <w:lang w:eastAsia="zh-CN"/>
        </w:rPr>
        <w:t>青年人才</w:t>
      </w:r>
      <w:r>
        <w:rPr>
          <w:rFonts w:hint="default" w:ascii="Times New Roman" w:hAnsi="Times New Roman" w:eastAsia="仿宋_GB2312" w:cs="Times New Roman"/>
          <w:color w:val="auto"/>
          <w:sz w:val="32"/>
          <w:szCs w:val="32"/>
          <w:highlight w:val="none"/>
        </w:rPr>
        <w:t>创投基金决策的民主性和科学性。专家评审委员会由政府有关部门、投资专家共同组成，其中投资专家不少于半数。项目申请单位人员不得作为评审委员会成员，参与对本单位项目的评审。</w:t>
      </w:r>
      <w:r>
        <w:rPr>
          <w:rFonts w:hint="eastAsia" w:ascii="Times New Roman" w:hAnsi="Times New Roman" w:eastAsia="仿宋_GB2312" w:cs="Times New Roman"/>
          <w:color w:val="auto"/>
          <w:sz w:val="32"/>
          <w:szCs w:val="32"/>
          <w:highlight w:val="none"/>
          <w:lang w:val="en-US" w:eastAsia="zh-CN"/>
        </w:rPr>
        <w:t>专</w:t>
      </w:r>
      <w:r>
        <w:rPr>
          <w:rFonts w:hint="default" w:ascii="Times New Roman" w:hAnsi="Times New Roman" w:eastAsia="仿宋_GB2312" w:cs="Times New Roman"/>
          <w:color w:val="auto"/>
          <w:sz w:val="32"/>
          <w:szCs w:val="32"/>
          <w:highlight w:val="none"/>
          <w:lang w:val="en-US" w:eastAsia="zh-CN"/>
        </w:rPr>
        <w:t>家评审委员会开展评审工作，由单独的议事规则确定</w:t>
      </w:r>
      <w:r>
        <w:rPr>
          <w:rFonts w:hint="eastAsia" w:ascii="Times New Roman" w:hAnsi="Times New Roman" w:eastAsia="仿宋_GB2312" w:cs="Times New Roman"/>
          <w:color w:val="auto"/>
          <w:sz w:val="32"/>
          <w:szCs w:val="32"/>
          <w:highlight w:val="none"/>
          <w:lang w:val="en-US" w:eastAsia="zh-CN"/>
        </w:rPr>
        <w:t>。</w:t>
      </w:r>
    </w:p>
    <w:p w14:paraId="1E46309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第</w:t>
      </w:r>
      <w:r>
        <w:rPr>
          <w:rFonts w:hint="eastAsia" w:ascii="Times New Roman" w:hAnsi="Times New Roman" w:eastAsia="仿宋_GB2312" w:cs="Times New Roman"/>
          <w:color w:val="auto"/>
          <w:kern w:val="0"/>
          <w:sz w:val="32"/>
          <w:szCs w:val="32"/>
          <w:lang w:val="en-US" w:eastAsia="zh-CN" w:bidi="ar-SA"/>
        </w:rPr>
        <w:t>十九</w:t>
      </w:r>
      <w:r>
        <w:rPr>
          <w:rFonts w:hint="default" w:ascii="Times New Roman" w:hAnsi="Times New Roman" w:eastAsia="仿宋_GB2312" w:cs="Times New Roman"/>
          <w:color w:val="auto"/>
          <w:kern w:val="0"/>
          <w:sz w:val="32"/>
          <w:szCs w:val="32"/>
          <w:lang w:val="en-US" w:eastAsia="zh-CN" w:bidi="ar-SA"/>
        </w:rPr>
        <w:t>条　</w:t>
      </w:r>
      <w:r>
        <w:rPr>
          <w:rFonts w:hint="default" w:ascii="Times New Roman" w:hAnsi="Times New Roman" w:eastAsia="仿宋_GB2312" w:cs="Times New Roman"/>
          <w:color w:val="auto"/>
          <w:sz w:val="32"/>
          <w:szCs w:val="32"/>
          <w:highlight w:val="none"/>
        </w:rPr>
        <w:t>基金设立基金投资决策委员会，作为对外投资的决策机构。专家评审委员会</w:t>
      </w:r>
      <w:r>
        <w:rPr>
          <w:rFonts w:hint="default" w:ascii="Times New Roman" w:hAnsi="Times New Roman" w:eastAsia="仿宋_GB2312" w:cs="Times New Roman"/>
          <w:color w:val="auto"/>
          <w:sz w:val="32"/>
          <w:szCs w:val="32"/>
          <w:highlight w:val="none"/>
          <w:lang w:val="en-US" w:eastAsia="zh-CN"/>
        </w:rPr>
        <w:t>审议通过的项目提交</w:t>
      </w:r>
      <w:r>
        <w:rPr>
          <w:rFonts w:hint="default" w:ascii="Times New Roman" w:hAnsi="Times New Roman" w:eastAsia="仿宋_GB2312" w:cs="Times New Roman"/>
          <w:color w:val="auto"/>
          <w:sz w:val="32"/>
          <w:szCs w:val="32"/>
          <w:highlight w:val="none"/>
        </w:rPr>
        <w:t>投资决策委员会</w:t>
      </w:r>
      <w:r>
        <w:rPr>
          <w:rFonts w:hint="default" w:ascii="Times New Roman" w:hAnsi="Times New Roman" w:eastAsia="仿宋_GB2312" w:cs="Times New Roman"/>
          <w:color w:val="auto"/>
          <w:sz w:val="32"/>
          <w:szCs w:val="32"/>
          <w:highlight w:val="none"/>
          <w:lang w:val="en-US" w:eastAsia="zh-CN"/>
        </w:rPr>
        <w:t>审议开展投资决策，</w:t>
      </w:r>
      <w:r>
        <w:rPr>
          <w:rFonts w:hint="default" w:ascii="Times New Roman" w:hAnsi="Times New Roman" w:eastAsia="仿宋_GB2312" w:cs="Times New Roman"/>
          <w:color w:val="auto"/>
          <w:kern w:val="0"/>
          <w:sz w:val="32"/>
          <w:szCs w:val="32"/>
          <w:lang w:val="en-US" w:eastAsia="zh-CN" w:bidi="ar-SA"/>
        </w:rPr>
        <w:t>投决会应当秉承独立、客观</w:t>
      </w:r>
      <w:r>
        <w:rPr>
          <w:rFonts w:hint="default" w:ascii="Times New Roman" w:hAnsi="Times New Roman" w:eastAsia="仿宋_GB2312" w:cs="Times New Roman"/>
          <w:kern w:val="0"/>
          <w:sz w:val="32"/>
          <w:szCs w:val="32"/>
          <w:lang w:val="en-US" w:eastAsia="zh-CN" w:bidi="ar-SA"/>
        </w:rPr>
        <w:t>、专业原则开展投资决策，委员如与项目有利害关系的，应主动提前申请回避。</w:t>
      </w:r>
      <w:r>
        <w:rPr>
          <w:rFonts w:hint="default" w:ascii="Times New Roman" w:hAnsi="Times New Roman" w:eastAsia="仿宋_GB2312" w:cs="Times New Roman"/>
          <w:sz w:val="32"/>
          <w:szCs w:val="32"/>
          <w:highlight w:val="none"/>
        </w:rPr>
        <w:t>投资决策委员会的组成及议事规则由基金章程或合伙协议确定。</w:t>
      </w:r>
    </w:p>
    <w:p w14:paraId="3C48212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eastAsia"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第二十条　</w:t>
      </w:r>
      <w:r>
        <w:rPr>
          <w:rFonts w:hint="default" w:ascii="Times New Roman" w:hAnsi="Times New Roman" w:eastAsia="仿宋_GB2312" w:cs="Times New Roman"/>
          <w:sz w:val="32"/>
          <w:szCs w:val="32"/>
          <w:lang w:val="en-US" w:eastAsia="zh-CN"/>
        </w:rPr>
        <w:t>共青团昆明市委</w:t>
      </w:r>
      <w:r>
        <w:rPr>
          <w:rFonts w:hint="default" w:ascii="Times New Roman" w:hAnsi="Times New Roman" w:eastAsia="仿宋_GB2312" w:cs="Times New Roman"/>
          <w:sz w:val="32"/>
          <w:szCs w:val="32"/>
        </w:rPr>
        <w:t>可提名委派若干观察员。观察员享有列席投资决策委员会会议的权利，以及知情权、监督权和建议权，不参与表决，但观察员若发现上述违反监管政策情况，有权叫停或终止该次投决会</w:t>
      </w:r>
      <w:r>
        <w:rPr>
          <w:rFonts w:hint="eastAsia" w:ascii="Times New Roman" w:hAnsi="Times New Roman" w:eastAsia="仿宋_GB2312" w:cs="Times New Roman"/>
          <w:sz w:val="32"/>
          <w:szCs w:val="32"/>
          <w:lang w:eastAsia="zh-CN"/>
        </w:rPr>
        <w:t>。</w:t>
      </w:r>
    </w:p>
    <w:p w14:paraId="18BDF05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w:t>
      </w:r>
      <w:r>
        <w:rPr>
          <w:rFonts w:hint="eastAsia" w:ascii="Times New Roman" w:hAnsi="Times New Roman" w:eastAsia="仿宋_GB2312" w:cs="Times New Roman"/>
          <w:kern w:val="0"/>
          <w:sz w:val="32"/>
          <w:szCs w:val="32"/>
          <w:lang w:val="en-US" w:eastAsia="zh-CN" w:bidi="ar-SA"/>
        </w:rPr>
        <w:t>一</w:t>
      </w:r>
      <w:r>
        <w:rPr>
          <w:rFonts w:hint="default" w:ascii="Times New Roman" w:hAnsi="Times New Roman" w:eastAsia="仿宋_GB2312" w:cs="Times New Roman"/>
          <w:kern w:val="0"/>
          <w:sz w:val="32"/>
          <w:szCs w:val="32"/>
          <w:lang w:val="en-US" w:eastAsia="zh-CN" w:bidi="ar-SA"/>
        </w:rPr>
        <w:t>条　</w:t>
      </w:r>
      <w:r>
        <w:rPr>
          <w:rFonts w:hint="default" w:ascii="Times New Roman" w:hAnsi="Times New Roman" w:eastAsia="仿宋_GB2312" w:cs="Times New Roman"/>
          <w:color w:val="auto"/>
          <w:sz w:val="32"/>
          <w:szCs w:val="32"/>
          <w:highlight w:val="none"/>
          <w:lang w:val="en-US" w:eastAsia="zh-CN"/>
        </w:rPr>
        <w:t>青年人才</w:t>
      </w:r>
      <w:r>
        <w:rPr>
          <w:rFonts w:hint="default" w:ascii="Times New Roman" w:hAnsi="Times New Roman" w:eastAsia="仿宋_GB2312" w:cs="Times New Roman"/>
          <w:color w:val="auto"/>
          <w:sz w:val="32"/>
          <w:szCs w:val="32"/>
          <w:highlight w:val="none"/>
        </w:rPr>
        <w:t>创投</w:t>
      </w:r>
      <w:r>
        <w:rPr>
          <w:rFonts w:hint="default" w:ascii="Times New Roman" w:hAnsi="Times New Roman" w:eastAsia="仿宋_GB2312" w:cs="Times New Roman"/>
          <w:kern w:val="0"/>
          <w:sz w:val="32"/>
          <w:szCs w:val="32"/>
          <w:lang w:val="en-US" w:eastAsia="zh-CN" w:bidi="ar-SA"/>
        </w:rPr>
        <w:t>基金管理机构应于每季度结束30日内报送基金的资产负债表、损益表及现金流量表等财务报表，8月底前报送半年度基金运营报告，每个会计年度结束后5个月内报送经审计的基金年度会计报告以及基金年度运营报告</w:t>
      </w:r>
      <w:r>
        <w:rPr>
          <w:rFonts w:hint="eastAsia" w:ascii="Times New Roman" w:hAnsi="Times New Roman" w:eastAsia="仿宋_GB2312" w:cs="Times New Roman"/>
          <w:kern w:val="0"/>
          <w:sz w:val="32"/>
          <w:szCs w:val="32"/>
          <w:lang w:val="en-US" w:eastAsia="zh-CN" w:bidi="ar-SA"/>
        </w:rPr>
        <w:t>，报送对象包括共青团昆明市委及出资人代表</w:t>
      </w:r>
      <w:r>
        <w:rPr>
          <w:rFonts w:hint="default" w:ascii="Times New Roman" w:hAnsi="Times New Roman" w:eastAsia="仿宋_GB2312" w:cs="Times New Roman"/>
          <w:kern w:val="0"/>
          <w:sz w:val="32"/>
          <w:szCs w:val="32"/>
          <w:lang w:val="en-US" w:eastAsia="zh-CN" w:bidi="ar-SA"/>
        </w:rPr>
        <w:t>。</w:t>
      </w:r>
    </w:p>
    <w:p w14:paraId="1CED663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w:t>
      </w:r>
      <w:r>
        <w:rPr>
          <w:rFonts w:hint="eastAsia" w:ascii="Times New Roman" w:hAnsi="Times New Roman" w:eastAsia="仿宋_GB2312" w:cs="Times New Roman"/>
          <w:kern w:val="0"/>
          <w:sz w:val="32"/>
          <w:szCs w:val="32"/>
          <w:lang w:val="en-US" w:eastAsia="zh-CN" w:bidi="ar-SA"/>
        </w:rPr>
        <w:t>二</w:t>
      </w:r>
      <w:r>
        <w:rPr>
          <w:rFonts w:hint="default" w:ascii="Times New Roman" w:hAnsi="Times New Roman" w:eastAsia="仿宋_GB2312" w:cs="Times New Roman"/>
          <w:kern w:val="0"/>
          <w:sz w:val="32"/>
          <w:szCs w:val="32"/>
          <w:lang w:val="en-US" w:eastAsia="zh-CN" w:bidi="ar-SA"/>
        </w:rPr>
        <w:t>条　投资盈亏由各出资方按实缴出资份额比例承担。政府方或财政资金代持机构应以出资额为限承担有限责任。</w:t>
      </w:r>
    </w:p>
    <w:p w14:paraId="046E576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p>
    <w:p w14:paraId="4AA3218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黑体" w:cs="Times New Roman"/>
          <w:b w:val="0"/>
          <w:bCs/>
          <w:sz w:val="32"/>
          <w:szCs w:val="32"/>
        </w:rPr>
      </w:pPr>
      <w:r>
        <w:rPr>
          <w:rStyle w:val="9"/>
          <w:rFonts w:hint="default" w:ascii="Times New Roman" w:hAnsi="Times New Roman" w:eastAsia="黑体" w:cs="Times New Roman"/>
          <w:b w:val="0"/>
          <w:bCs/>
          <w:sz w:val="32"/>
          <w:szCs w:val="32"/>
        </w:rPr>
        <w:t>第五章　基金退出</w:t>
      </w:r>
    </w:p>
    <w:p w14:paraId="747E082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default" w:ascii="Times New Roman" w:hAnsi="Times New Roman" w:cs="Times New Roman"/>
        </w:rPr>
      </w:pPr>
    </w:p>
    <w:p w14:paraId="1565368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w:t>
      </w:r>
      <w:r>
        <w:rPr>
          <w:rFonts w:hint="eastAsia" w:ascii="Times New Roman" w:hAnsi="Times New Roman" w:eastAsia="仿宋_GB2312" w:cs="Times New Roman"/>
          <w:kern w:val="0"/>
          <w:sz w:val="32"/>
          <w:szCs w:val="32"/>
          <w:lang w:val="en-US" w:eastAsia="zh-CN" w:bidi="ar-SA"/>
        </w:rPr>
        <w:t>三</w:t>
      </w:r>
      <w:r>
        <w:rPr>
          <w:rFonts w:hint="default" w:ascii="Times New Roman" w:hAnsi="Times New Roman" w:eastAsia="仿宋_GB2312" w:cs="Times New Roman"/>
          <w:kern w:val="0"/>
          <w:sz w:val="32"/>
          <w:szCs w:val="32"/>
          <w:lang w:val="en-US" w:eastAsia="zh-CN" w:bidi="ar-SA"/>
        </w:rPr>
        <w:t>条　</w:t>
      </w:r>
      <w:r>
        <w:rPr>
          <w:rFonts w:hint="default" w:ascii="Times New Roman" w:hAnsi="Times New Roman" w:eastAsia="仿宋_GB2312" w:cs="Times New Roman"/>
          <w:color w:val="auto"/>
          <w:sz w:val="32"/>
          <w:szCs w:val="32"/>
          <w:highlight w:val="none"/>
          <w:lang w:val="en-US" w:eastAsia="zh-CN"/>
        </w:rPr>
        <w:t>青年人才</w:t>
      </w:r>
      <w:r>
        <w:rPr>
          <w:rFonts w:hint="default" w:ascii="Times New Roman" w:hAnsi="Times New Roman" w:eastAsia="仿宋_GB2312" w:cs="Times New Roman"/>
          <w:color w:val="auto"/>
          <w:sz w:val="32"/>
          <w:szCs w:val="32"/>
          <w:highlight w:val="none"/>
        </w:rPr>
        <w:t>创投</w:t>
      </w:r>
      <w:r>
        <w:rPr>
          <w:rFonts w:hint="default" w:ascii="Times New Roman" w:hAnsi="Times New Roman" w:eastAsia="仿宋_GB2312" w:cs="Times New Roman"/>
          <w:kern w:val="0"/>
          <w:sz w:val="32"/>
          <w:szCs w:val="32"/>
          <w:lang w:val="en-US" w:eastAsia="zh-CN" w:bidi="ar-SA"/>
        </w:rPr>
        <w:t>基金应当在合伙协议或项目投资协议中明确约定退出条件、期限、方式等内容。在达到约定退出条件时，由基金管理机构负责实施基金退出。无法按照约定条件退出时，由基金管理机构提出退出方案，报投决会决策，通过后由基金管理机构实施退出。</w:t>
      </w:r>
    </w:p>
    <w:p w14:paraId="4D0B6E6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w:t>
      </w:r>
      <w:r>
        <w:rPr>
          <w:rFonts w:hint="eastAsia" w:ascii="Times New Roman" w:hAnsi="Times New Roman" w:eastAsia="仿宋_GB2312" w:cs="Times New Roman"/>
          <w:kern w:val="0"/>
          <w:sz w:val="32"/>
          <w:szCs w:val="32"/>
          <w:lang w:val="en-US" w:eastAsia="zh-CN" w:bidi="ar-SA"/>
        </w:rPr>
        <w:t>四</w:t>
      </w:r>
      <w:r>
        <w:rPr>
          <w:rFonts w:hint="default" w:ascii="Times New Roman" w:hAnsi="Times New Roman" w:eastAsia="仿宋_GB2312" w:cs="Times New Roman"/>
          <w:kern w:val="0"/>
          <w:sz w:val="32"/>
          <w:szCs w:val="32"/>
          <w:lang w:val="en-US" w:eastAsia="zh-CN" w:bidi="ar-SA"/>
        </w:rPr>
        <w:t>条　基金管理机构应建立市场化退出机制，可根据实际情况，退出途径包括但不限于基金份额转让、并购、境内（外）IPO（首次公开募股）上市后股票减持、股东及管理层回购、股权协议转让、基金合同约定的退出方式等。</w:t>
      </w:r>
    </w:p>
    <w:p w14:paraId="0E5D67D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第二十</w:t>
      </w:r>
      <w:r>
        <w:rPr>
          <w:rFonts w:hint="eastAsia" w:ascii="Times New Roman" w:hAnsi="Times New Roman" w:eastAsia="仿宋_GB2312" w:cs="Times New Roman"/>
          <w:kern w:val="0"/>
          <w:sz w:val="32"/>
          <w:szCs w:val="32"/>
          <w:lang w:val="en-US" w:eastAsia="zh-CN" w:bidi="ar-SA"/>
        </w:rPr>
        <w:t>五</w:t>
      </w:r>
      <w:r>
        <w:rPr>
          <w:rFonts w:hint="default" w:ascii="Times New Roman" w:hAnsi="Times New Roman" w:eastAsia="仿宋_GB2312" w:cs="Times New Roman"/>
          <w:kern w:val="0"/>
          <w:sz w:val="32"/>
          <w:szCs w:val="32"/>
          <w:lang w:val="en-US" w:eastAsia="zh-CN" w:bidi="ar-SA"/>
        </w:rPr>
        <w:t>条　青年人才创投基金在子基金出现以下情形之一时，可以无需其他出资人同意，选择提前退出：</w:t>
      </w:r>
    </w:p>
    <w:p w14:paraId="6F72926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（一）子基金设立方案完成审批或公示后超过1年，未按约定程序和时间要求完成设立的；</w:t>
      </w:r>
    </w:p>
    <w:p w14:paraId="349AA20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（二）母基金出资拨付子基金账户1年以上，子基金未开展投资业务的；</w:t>
      </w:r>
    </w:p>
    <w:p w14:paraId="756328C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（三）子基金未按章程或合伙协议约定投资，或投资领域和方向不符合政策目标的；</w:t>
      </w:r>
    </w:p>
    <w:p w14:paraId="4904E51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（四）发现其他危及基金安全或违背政策目标等事前约定退出情况的；</w:t>
      </w:r>
    </w:p>
    <w:p w14:paraId="17EE2FD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（五）连续两年绩效评价得分低于60分的；</w:t>
      </w:r>
    </w:p>
    <w:p w14:paraId="6327D65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（六）其他不符合子基金合伙协议或章程约定情形的。</w:t>
      </w:r>
    </w:p>
    <w:p w14:paraId="7E6C7AC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textAlignment w:val="auto"/>
        <w:rPr>
          <w:rFonts w:hint="default" w:ascii="Times New Roman" w:hAnsi="Times New Roman" w:eastAsia="仿宋_GB2312" w:cs="Times New Roman"/>
          <w:kern w:val="0"/>
          <w:sz w:val="32"/>
          <w:szCs w:val="32"/>
          <w:lang w:val="en-US" w:eastAsia="zh-CN" w:bidi="ar-SA"/>
        </w:rPr>
      </w:pPr>
    </w:p>
    <w:p w14:paraId="0083E4FE">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jc w:val="center"/>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第六章  </w:t>
      </w:r>
      <w:r>
        <w:rPr>
          <w:rFonts w:hint="default" w:ascii="Times New Roman" w:hAnsi="Times New Roman" w:eastAsia="黑体" w:cs="Times New Roman"/>
          <w:sz w:val="32"/>
          <w:szCs w:val="32"/>
          <w:highlight w:val="none"/>
        </w:rPr>
        <w:t>风险控制</w:t>
      </w:r>
      <w:r>
        <w:rPr>
          <w:rFonts w:hint="default" w:ascii="Times New Roman" w:hAnsi="Times New Roman" w:eastAsia="黑体" w:cs="Times New Roman"/>
          <w:sz w:val="32"/>
          <w:szCs w:val="32"/>
          <w:highlight w:val="none"/>
          <w:lang w:val="en-US" w:eastAsia="zh-CN"/>
        </w:rPr>
        <w:t>和容错免责</w:t>
      </w:r>
    </w:p>
    <w:p w14:paraId="27D05530">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62" w:leftChars="0" w:right="0" w:rightChars="0"/>
        <w:textAlignment w:val="auto"/>
        <w:rPr>
          <w:rFonts w:hint="default" w:ascii="Times New Roman" w:hAnsi="Times New Roman" w:eastAsia="仿宋_GB2312" w:cs="Times New Roman"/>
          <w:sz w:val="32"/>
          <w:szCs w:val="32"/>
          <w:highlight w:val="none"/>
        </w:rPr>
      </w:pPr>
    </w:p>
    <w:p w14:paraId="1A19E87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第二十</w:t>
      </w:r>
      <w:r>
        <w:rPr>
          <w:rFonts w:hint="eastAsia"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rPr>
        <w:t>条 基金将委托国有商业银行对基金进行托管，负责基金资金的拨付指令管理、清算和日常监管，</w:t>
      </w:r>
      <w:r>
        <w:rPr>
          <w:rFonts w:hint="default" w:ascii="Times New Roman" w:hAnsi="Times New Roman" w:eastAsia="仿宋_GB2312" w:cs="Times New Roman"/>
          <w:sz w:val="32"/>
          <w:szCs w:val="32"/>
          <w:highlight w:val="none"/>
          <w:lang w:val="en-US" w:eastAsia="zh-CN"/>
        </w:rPr>
        <w:t>保证基金财产的独立和安全。托管银行应于</w:t>
      </w:r>
      <w:r>
        <w:rPr>
          <w:rFonts w:hint="default" w:ascii="Times New Roman" w:hAnsi="Times New Roman" w:eastAsia="仿宋_GB2312" w:cs="Times New Roman"/>
          <w:sz w:val="32"/>
          <w:szCs w:val="32"/>
          <w:highlight w:val="none"/>
        </w:rPr>
        <w:t>每个会计年度结束后2个月</w:t>
      </w:r>
      <w:r>
        <w:rPr>
          <w:rFonts w:hint="default" w:ascii="Times New Roman" w:hAnsi="Times New Roman" w:eastAsia="仿宋_GB2312" w:cs="Times New Roman"/>
          <w:sz w:val="32"/>
          <w:szCs w:val="32"/>
          <w:highlight w:val="none"/>
          <w:lang w:val="en-US" w:eastAsia="zh-CN"/>
        </w:rPr>
        <w:t xml:space="preserve">内向共青团昆明市委、出资人代表、基金管理机构提供托管报告。 </w:t>
      </w:r>
    </w:p>
    <w:p w14:paraId="712031E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第二十</w:t>
      </w:r>
      <w:r>
        <w:rPr>
          <w:rFonts w:hint="eastAsia" w:ascii="Times New Roman" w:hAnsi="Times New Roman" w:eastAsia="仿宋_GB2312" w:cs="Times New Roman"/>
          <w:sz w:val="32"/>
          <w:szCs w:val="32"/>
          <w:highlight w:val="none"/>
          <w:lang w:val="en-US" w:eastAsia="zh-CN"/>
        </w:rPr>
        <w:t>七</w:t>
      </w:r>
      <w:r>
        <w:rPr>
          <w:rFonts w:hint="default" w:ascii="Times New Roman" w:hAnsi="Times New Roman" w:eastAsia="仿宋_GB2312" w:cs="Times New Roman"/>
          <w:sz w:val="32"/>
          <w:szCs w:val="32"/>
          <w:highlight w:val="none"/>
        </w:rPr>
        <w:t>条  基金不得从事以下业务：</w:t>
      </w:r>
    </w:p>
    <w:p w14:paraId="6DD1200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从事对所投资企业融资担保以外的担保</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抵押、委托贷款等业务；</w:t>
      </w:r>
    </w:p>
    <w:p w14:paraId="2CAA1C0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投资二级市场股票、期货、房地产、证券投资基金、评级AAA以下的企业债、信托产品、非保本型理财产品、保险计划及其他金融衍生品；</w:t>
      </w:r>
    </w:p>
    <w:p w14:paraId="603D88B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向任何第三方提供赞助、捐赠；</w:t>
      </w:r>
    </w:p>
    <w:p w14:paraId="5A427E8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吸收或变相吸收存款，或向第三方提供贷款和资金拆借；</w:t>
      </w:r>
    </w:p>
    <w:p w14:paraId="1763482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进行承担无限连带责任的对外投资；</w:t>
      </w:r>
    </w:p>
    <w:p w14:paraId="04950BF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发行信托或集合理财产品募集资金；</w:t>
      </w:r>
    </w:p>
    <w:p w14:paraId="06C75D2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其他国家法律法规禁止从事的业务</w:t>
      </w:r>
      <w:r>
        <w:rPr>
          <w:rFonts w:hint="default" w:ascii="Times New Roman" w:hAnsi="Times New Roman" w:eastAsia="仿宋_GB2312" w:cs="Times New Roman"/>
          <w:sz w:val="32"/>
          <w:szCs w:val="32"/>
          <w:highlight w:val="none"/>
          <w:lang w:eastAsia="zh-CN"/>
        </w:rPr>
        <w:t>。</w:t>
      </w:r>
    </w:p>
    <w:p w14:paraId="5DB4E75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w:t>
      </w:r>
      <w:r>
        <w:rPr>
          <w:rFonts w:hint="eastAsia" w:ascii="Times New Roman" w:hAnsi="Times New Roman" w:eastAsia="仿宋_GB2312" w:cs="Times New Roman"/>
          <w:kern w:val="0"/>
          <w:sz w:val="32"/>
          <w:szCs w:val="32"/>
          <w:lang w:val="en-US" w:eastAsia="zh-CN"/>
        </w:rPr>
        <w:t>二十八</w:t>
      </w:r>
      <w:r>
        <w:rPr>
          <w:rFonts w:hint="default" w:ascii="Times New Roman" w:hAnsi="Times New Roman" w:eastAsia="仿宋_GB2312" w:cs="Times New Roman"/>
          <w:kern w:val="0"/>
          <w:sz w:val="32"/>
          <w:szCs w:val="32"/>
          <w:lang w:val="en-US" w:eastAsia="zh-CN"/>
        </w:rPr>
        <w:t>条　</w:t>
      </w:r>
      <w:r>
        <w:rPr>
          <w:rFonts w:hint="default" w:ascii="Times New Roman" w:hAnsi="Times New Roman" w:eastAsia="仿宋_GB2312" w:cs="Times New Roman"/>
          <w:sz w:val="32"/>
          <w:szCs w:val="32"/>
          <w:lang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投资损失容忍率按照有关规定原则上不超过60%，投资种子期企业可经审批另行约定。落实国务院、省政府关于容错免责的政策导向，研究建立以尽职合规责任豁免为核心的容错免责机制，完善基金免责认定标准和流程。弄虚作假骗取出资，或不按规定用途使用、截留挪用、挥霍浪费资金等违法违规行为除外。</w:t>
      </w:r>
    </w:p>
    <w:p w14:paraId="2FB3193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textAlignment w:val="auto"/>
        <w:rPr>
          <w:rFonts w:hint="default" w:ascii="Times New Roman" w:hAnsi="Times New Roman" w:eastAsia="仿宋_GB2312" w:cs="Times New Roman"/>
          <w:kern w:val="0"/>
          <w:sz w:val="32"/>
          <w:szCs w:val="32"/>
          <w:lang w:val="en-US" w:eastAsia="zh-CN" w:bidi="ar-SA"/>
        </w:rPr>
      </w:pPr>
    </w:p>
    <w:p w14:paraId="348C222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第七章 费用及收益分配</w:t>
      </w:r>
    </w:p>
    <w:p w14:paraId="67B625A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62"/>
        <w:textAlignment w:val="auto"/>
        <w:rPr>
          <w:rFonts w:hint="default" w:ascii="Times New Roman" w:hAnsi="Times New Roman" w:eastAsia="仿宋_GB2312" w:cs="Times New Roman"/>
          <w:sz w:val="32"/>
          <w:szCs w:val="32"/>
        </w:rPr>
      </w:pPr>
    </w:p>
    <w:p w14:paraId="729EC07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eastAsia" w:ascii="Times New Roman" w:hAnsi="Times New Roman" w:eastAsia="仿宋_GB2312" w:cs="Times New Roman"/>
          <w:sz w:val="32"/>
          <w:szCs w:val="32"/>
          <w:lang w:val="en-US" w:eastAsia="zh-CN"/>
        </w:rPr>
        <w:t>二十九</w:t>
      </w:r>
      <w:r>
        <w:rPr>
          <w:rFonts w:hint="default" w:ascii="Times New Roman" w:hAnsi="Times New Roman" w:eastAsia="仿宋_GB2312" w:cs="Times New Roman"/>
          <w:sz w:val="32"/>
          <w:szCs w:val="32"/>
        </w:rPr>
        <w:t>条  基金各出资方应按照“利益共享，风险共担”的原则，明确约定收益的处理和亏损负担方式。对于归属政府的投资收益和利息等，继续用于基金追加投入滚动使用。</w:t>
      </w:r>
      <w:r>
        <w:rPr>
          <w:rFonts w:hint="eastAsia" w:ascii="Times New Roman" w:hAnsi="Times New Roman" w:eastAsia="仿宋_GB2312" w:cs="Times New Roman"/>
          <w:sz w:val="32"/>
          <w:szCs w:val="32"/>
          <w:lang w:val="en-US" w:eastAsia="zh-CN"/>
        </w:rPr>
        <w:t>财政资金</w:t>
      </w:r>
      <w:r>
        <w:rPr>
          <w:rFonts w:hint="default" w:ascii="Times New Roman" w:hAnsi="Times New Roman" w:eastAsia="仿宋_GB2312" w:cs="Times New Roman"/>
          <w:sz w:val="32"/>
          <w:szCs w:val="32"/>
        </w:rPr>
        <w:t>代持机构应与其他出资人在基金章程或合伙协议中约定，代持机构以委托资金为上限对基金债务承担有限责任。</w:t>
      </w:r>
    </w:p>
    <w:p w14:paraId="4F11F246">
      <w:pPr>
        <w:keepNext w:val="0"/>
        <w:keepLines w:val="0"/>
        <w:pageBreakBefore w:val="0"/>
        <w:widowControl w:val="0"/>
        <w:kinsoku/>
        <w:wordWrap/>
        <w:overflowPunct/>
        <w:topLinePunct w:val="0"/>
        <w:autoSpaceDE/>
        <w:autoSpaceDN/>
        <w:bidi w:val="0"/>
        <w:adjustRightInd w:val="0"/>
        <w:snapToGrid w:val="0"/>
        <w:spacing w:after="0" w:line="560" w:lineRule="exact"/>
        <w:ind w:firstLine="64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第三十条  基金分配遵循</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利益共享、风险共担</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整体分配、先本后利</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原则，</w:t>
      </w:r>
      <w:r>
        <w:rPr>
          <w:rFonts w:hint="eastAsia" w:ascii="Times New Roman" w:hAnsi="Times New Roman" w:eastAsia="仿宋_GB2312" w:cs="Times New Roman"/>
          <w:kern w:val="0"/>
          <w:sz w:val="32"/>
          <w:szCs w:val="32"/>
          <w:lang w:val="en-US" w:eastAsia="zh-CN" w:bidi="ar"/>
        </w:rPr>
        <w:t>基金存续期满后进行整体分配，先分配本金，</w:t>
      </w:r>
      <w:r>
        <w:rPr>
          <w:rFonts w:hint="default" w:ascii="Times New Roman" w:hAnsi="Times New Roman" w:eastAsia="仿宋_GB2312" w:cs="Times New Roman"/>
          <w:kern w:val="0"/>
          <w:sz w:val="32"/>
          <w:szCs w:val="32"/>
          <w:lang w:val="en-US" w:eastAsia="zh-CN" w:bidi="ar"/>
        </w:rPr>
        <w:t>基金整体收益达到</w:t>
      </w:r>
      <w:r>
        <w:rPr>
          <w:rFonts w:hint="eastAsia" w:ascii="Times New Roman" w:hAnsi="Times New Roman" w:eastAsia="仿宋_GB2312" w:cs="Times New Roman"/>
          <w:kern w:val="0"/>
          <w:sz w:val="32"/>
          <w:szCs w:val="32"/>
          <w:lang w:val="en-US" w:eastAsia="zh-CN" w:bidi="ar"/>
        </w:rPr>
        <w:t>6</w:t>
      </w:r>
      <w:r>
        <w:rPr>
          <w:rFonts w:hint="default" w:ascii="Times New Roman" w:hAnsi="Times New Roman" w:eastAsia="仿宋_GB2312" w:cs="Times New Roman"/>
          <w:kern w:val="0"/>
          <w:sz w:val="32"/>
          <w:szCs w:val="32"/>
          <w:lang w:val="en-US" w:eastAsia="zh-CN" w:bidi="ar"/>
        </w:rPr>
        <w:t>%/年后，超出部分的20%分配给基金管理人作为管理报酬，其余80%的收益按照各出资人实缴出资比例分配。基金整体收益未达到</w:t>
      </w:r>
      <w:r>
        <w:rPr>
          <w:rFonts w:hint="eastAsia" w:ascii="Times New Roman" w:hAnsi="Times New Roman" w:eastAsia="仿宋_GB2312" w:cs="Times New Roman"/>
          <w:kern w:val="0"/>
          <w:sz w:val="32"/>
          <w:szCs w:val="32"/>
          <w:lang w:val="en-US" w:eastAsia="zh-CN" w:bidi="ar"/>
        </w:rPr>
        <w:t>6</w:t>
      </w:r>
      <w:r>
        <w:rPr>
          <w:rFonts w:hint="default" w:ascii="Times New Roman" w:hAnsi="Times New Roman" w:eastAsia="仿宋_GB2312" w:cs="Times New Roman"/>
          <w:kern w:val="0"/>
          <w:sz w:val="32"/>
          <w:szCs w:val="32"/>
          <w:lang w:val="en-US" w:eastAsia="zh-CN" w:bidi="ar"/>
        </w:rPr>
        <w:t>%/年的，则收益部分全部由基金出资人按各自实缴出资比例分配。</w:t>
      </w:r>
    </w:p>
    <w:p w14:paraId="27902C9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三十</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条  基金管理费用根据协议约定可从基金资产中列支，用于基金日常管理等工作，根据目标完成程度，基金管理费提取比例实行浮动管理，每年度基金管理费用不超过基金实缴出资额</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具体标</w:t>
      </w:r>
      <w:r>
        <w:rPr>
          <w:rFonts w:hint="default" w:ascii="Times New Roman" w:hAnsi="Times New Roman" w:eastAsia="仿宋_GB2312" w:cs="Times New Roman"/>
          <w:sz w:val="32"/>
          <w:szCs w:val="32"/>
        </w:rPr>
        <w:t>准按照基金的绩效考核管理办法执行。</w:t>
      </w:r>
    </w:p>
    <w:p w14:paraId="71300BDB">
      <w:pPr>
        <w:keepNext w:val="0"/>
        <w:keepLines w:val="0"/>
        <w:pageBreakBefore w:val="0"/>
        <w:widowControl w:val="0"/>
        <w:kinsoku/>
        <w:wordWrap/>
        <w:overflowPunct/>
        <w:topLinePunct w:val="0"/>
        <w:autoSpaceDE/>
        <w:autoSpaceDN/>
        <w:bidi w:val="0"/>
        <w:adjustRightInd w:val="0"/>
        <w:snapToGrid w:val="0"/>
        <w:spacing w:line="560" w:lineRule="exact"/>
        <w:contextualSpacing/>
        <w:jc w:val="both"/>
        <w:textAlignment w:val="auto"/>
        <w:rPr>
          <w:rFonts w:hint="default" w:ascii="Times New Roman" w:hAnsi="Times New Roman" w:eastAsia="仿宋_GB2312" w:cs="Times New Roman"/>
          <w:kern w:val="0"/>
          <w:sz w:val="32"/>
          <w:szCs w:val="32"/>
          <w:lang w:val="en-US" w:eastAsia="zh-CN"/>
        </w:rPr>
      </w:pPr>
    </w:p>
    <w:p w14:paraId="6A668C5F">
      <w:pPr>
        <w:keepNext w:val="0"/>
        <w:keepLines w:val="0"/>
        <w:pageBreakBefore w:val="0"/>
        <w:widowControl w:val="0"/>
        <w:kinsoku/>
        <w:wordWrap/>
        <w:overflowPunct/>
        <w:topLinePunct w:val="0"/>
        <w:autoSpaceDE/>
        <w:autoSpaceDN/>
        <w:bidi w:val="0"/>
        <w:adjustRightInd w:val="0"/>
        <w:snapToGrid w:val="0"/>
        <w:spacing w:line="560" w:lineRule="exact"/>
        <w:contextualSpacing/>
        <w:jc w:val="center"/>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第八章　绩效管理</w:t>
      </w:r>
    </w:p>
    <w:p w14:paraId="4B12BEA6">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p>
    <w:p w14:paraId="42D90D1E">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第三十</w:t>
      </w:r>
      <w:r>
        <w:rPr>
          <w:rFonts w:hint="eastAsia" w:ascii="Times New Roman" w:hAnsi="Times New Roman" w:eastAsia="仿宋_GB2312" w:cs="Times New Roman"/>
          <w:kern w:val="0"/>
          <w:sz w:val="32"/>
          <w:szCs w:val="32"/>
          <w:lang w:val="en-US" w:eastAsia="zh-CN"/>
        </w:rPr>
        <w:t>二</w:t>
      </w:r>
      <w:r>
        <w:rPr>
          <w:rFonts w:hint="default" w:ascii="Times New Roman" w:hAnsi="Times New Roman" w:eastAsia="仿宋_GB2312" w:cs="Times New Roman"/>
          <w:kern w:val="0"/>
          <w:sz w:val="32"/>
          <w:szCs w:val="32"/>
          <w:lang w:val="en-US" w:eastAsia="zh-CN"/>
        </w:rPr>
        <w:t>条　共青团昆明市委下达青年人才创投基金绩效目标，母基金管理机构负责下达子基金绩效目标，重点关注政策目标综合实现情况；母基金管理机构对子基金开展绩效评价，出资人代表开展母基金绩效自评，对子基金绩效评价结果出具初步评价意见，共青团昆明市委开展母基金绩效评价，确认母基金及子基金的绩效评价结果并进行结果应用。绩效评价结果作为基金存续、计提管理费、改进管理、调整出资、优化投资方向以及实施奖罚的重要依据。会计年度内基金存续期未超过6个月的，该年度不予考核、评分；超过6个月但不满12个月的，该年度按照实际存续天数核定绩效指标予以考核、评分。</w:t>
      </w:r>
    </w:p>
    <w:p w14:paraId="5020C436">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第三十</w:t>
      </w:r>
      <w:r>
        <w:rPr>
          <w:rFonts w:hint="eastAsia" w:ascii="Times New Roman" w:hAnsi="Times New Roman" w:eastAsia="仿宋_GB2312" w:cs="Times New Roman"/>
          <w:kern w:val="0"/>
          <w:sz w:val="32"/>
          <w:szCs w:val="32"/>
          <w:lang w:val="en-US" w:eastAsia="zh-CN"/>
        </w:rPr>
        <w:t>三</w:t>
      </w:r>
      <w:r>
        <w:rPr>
          <w:rFonts w:hint="default" w:ascii="Times New Roman" w:hAnsi="Times New Roman" w:eastAsia="仿宋_GB2312" w:cs="Times New Roman"/>
          <w:kern w:val="0"/>
          <w:sz w:val="32"/>
          <w:szCs w:val="32"/>
          <w:lang w:val="en-US" w:eastAsia="zh-CN"/>
        </w:rPr>
        <w:t>条</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绩效指标内容主要包括</w:t>
      </w:r>
      <w:r>
        <w:rPr>
          <w:rFonts w:hint="default" w:ascii="Times New Roman" w:hAnsi="Times New Roman" w:eastAsia="仿宋_GB2312" w:cs="Times New Roman"/>
          <w:sz w:val="32"/>
          <w:szCs w:val="32"/>
          <w:lang w:eastAsia="zh-CN"/>
        </w:rPr>
        <w:t>青年人才</w:t>
      </w:r>
      <w:r>
        <w:rPr>
          <w:rFonts w:hint="default" w:ascii="Times New Roman" w:hAnsi="Times New Roman" w:eastAsia="仿宋_GB2312" w:cs="Times New Roman"/>
          <w:sz w:val="32"/>
          <w:szCs w:val="32"/>
        </w:rPr>
        <w:t>创投基金</w:t>
      </w:r>
      <w:r>
        <w:rPr>
          <w:rFonts w:hint="default" w:ascii="Times New Roman" w:hAnsi="Times New Roman" w:eastAsia="仿宋_GB2312" w:cs="Times New Roman"/>
          <w:kern w:val="0"/>
          <w:sz w:val="32"/>
          <w:szCs w:val="32"/>
          <w:lang w:val="en-US" w:eastAsia="zh-CN"/>
        </w:rPr>
        <w:t>设立程序</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投资运作的规范情况、日常管理及投后管理情况、投资损失率、政策效果</w:t>
      </w:r>
      <w:r>
        <w:rPr>
          <w:rFonts w:hint="eastAsia" w:ascii="Times New Roman" w:hAnsi="Times New Roman" w:eastAsia="仿宋_GB2312" w:cs="Times New Roman"/>
          <w:kern w:val="0"/>
          <w:sz w:val="32"/>
          <w:szCs w:val="32"/>
          <w:lang w:val="en-US" w:eastAsia="zh-CN"/>
        </w:rPr>
        <w:t>及</w:t>
      </w:r>
      <w:r>
        <w:rPr>
          <w:rFonts w:hint="default" w:ascii="Times New Roman" w:hAnsi="Times New Roman" w:eastAsia="仿宋_GB2312" w:cs="Times New Roman"/>
          <w:kern w:val="0"/>
          <w:sz w:val="32"/>
          <w:szCs w:val="32"/>
          <w:lang w:val="en-US" w:eastAsia="zh-CN"/>
        </w:rPr>
        <w:t>各相关责任主体的履职情况等</w:t>
      </w:r>
      <w:r>
        <w:rPr>
          <w:rFonts w:hint="eastAsia" w:ascii="Times New Roman" w:hAnsi="Times New Roman" w:eastAsia="仿宋_GB2312" w:cs="Times New Roman"/>
          <w:kern w:val="0"/>
          <w:sz w:val="32"/>
          <w:szCs w:val="32"/>
          <w:lang w:val="en-US" w:eastAsia="zh-CN"/>
        </w:rPr>
        <w:t>。应</w:t>
      </w:r>
      <w:r>
        <w:rPr>
          <w:rFonts w:hint="default" w:ascii="Times New Roman" w:hAnsi="Times New Roman" w:eastAsia="仿宋_GB2312" w:cs="Times New Roman"/>
          <w:kern w:val="0"/>
          <w:sz w:val="32"/>
          <w:szCs w:val="32"/>
          <w:lang w:val="en-US" w:eastAsia="zh-CN"/>
        </w:rPr>
        <w:t>充分体现基金支持青年创业的引导作用，</w:t>
      </w:r>
      <w:r>
        <w:rPr>
          <w:rFonts w:hint="eastAsia" w:ascii="Times New Roman" w:hAnsi="Times New Roman" w:eastAsia="仿宋_GB2312" w:cs="Times New Roman"/>
          <w:kern w:val="0"/>
          <w:sz w:val="32"/>
          <w:szCs w:val="32"/>
          <w:lang w:val="en-US" w:eastAsia="zh-CN"/>
        </w:rPr>
        <w:t>并</w:t>
      </w:r>
      <w:r>
        <w:rPr>
          <w:rFonts w:hint="default" w:ascii="Times New Roman" w:hAnsi="Times New Roman" w:eastAsia="仿宋_GB2312" w:cs="Times New Roman"/>
          <w:kern w:val="0"/>
          <w:sz w:val="32"/>
          <w:szCs w:val="32"/>
          <w:lang w:val="en-US" w:eastAsia="zh-CN"/>
        </w:rPr>
        <w:t>视情况逐年调整。</w:t>
      </w:r>
    </w:p>
    <w:p w14:paraId="75217EFC">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contextualSpacing/>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十</w:t>
      </w:r>
      <w:r>
        <w:rPr>
          <w:rFonts w:hint="eastAsia"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基金应接受审计</w:t>
      </w:r>
      <w:r>
        <w:rPr>
          <w:rFonts w:hint="eastAsia" w:ascii="Times New Roman" w:hAnsi="Times New Roman" w:eastAsia="仿宋_GB2312" w:cs="Times New Roman"/>
          <w:sz w:val="32"/>
          <w:szCs w:val="32"/>
          <w:highlight w:val="none"/>
          <w:lang w:val="en-US" w:eastAsia="zh-CN"/>
        </w:rPr>
        <w:t>等相关</w:t>
      </w:r>
      <w:r>
        <w:rPr>
          <w:rFonts w:hint="default" w:ascii="Times New Roman" w:hAnsi="Times New Roman" w:eastAsia="仿宋_GB2312" w:cs="Times New Roman"/>
          <w:sz w:val="32"/>
          <w:szCs w:val="32"/>
          <w:highlight w:val="none"/>
        </w:rPr>
        <w:t>部门对基金运行情况的监督、审计，</w:t>
      </w:r>
      <w:r>
        <w:rPr>
          <w:rFonts w:hint="eastAsia" w:ascii="Times New Roman" w:hAnsi="Times New Roman" w:eastAsia="仿宋_GB2312" w:cs="Times New Roman"/>
          <w:sz w:val="32"/>
          <w:szCs w:val="32"/>
          <w:highlight w:val="none"/>
          <w:lang w:val="en-US" w:eastAsia="zh-CN"/>
        </w:rPr>
        <w:t>相关结果</w:t>
      </w:r>
      <w:r>
        <w:rPr>
          <w:rFonts w:hint="default" w:ascii="Times New Roman" w:hAnsi="Times New Roman" w:eastAsia="仿宋_GB2312" w:cs="Times New Roman"/>
          <w:sz w:val="32"/>
          <w:szCs w:val="32"/>
          <w:highlight w:val="none"/>
        </w:rPr>
        <w:t>结果作为基金存续、计提管理费、专项资金退出等重大事项决策的重要依据。</w:t>
      </w:r>
    </w:p>
    <w:p w14:paraId="0520F7B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三十五</w:t>
      </w:r>
      <w:r>
        <w:rPr>
          <w:rFonts w:hint="default"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基金绩效达不到预期效果、投资进度缓慢或资金长期闲置的</w:t>
      </w:r>
      <w:r>
        <w:rPr>
          <w:rFonts w:hint="eastAsia" w:ascii="Times New Roman" w:hAnsi="Times New Roman" w:eastAsia="仿宋_GB2312" w:cs="Times New Roman"/>
          <w:sz w:val="32"/>
          <w:szCs w:val="32"/>
          <w:highlight w:val="none"/>
          <w:lang w:eastAsia="zh-CN"/>
        </w:rPr>
        <w:t>，由</w:t>
      </w:r>
      <w:r>
        <w:rPr>
          <w:rFonts w:hint="eastAsia" w:ascii="Times New Roman" w:hAnsi="Times New Roman" w:eastAsia="仿宋_GB2312" w:cs="Times New Roman"/>
          <w:sz w:val="32"/>
          <w:szCs w:val="32"/>
          <w:highlight w:val="none"/>
          <w:lang w:val="en-US" w:eastAsia="zh-CN"/>
        </w:rPr>
        <w:t>行业主管部门会同出资人代表</w:t>
      </w:r>
      <w:r>
        <w:rPr>
          <w:rFonts w:hint="default" w:ascii="Times New Roman" w:hAnsi="Times New Roman" w:eastAsia="仿宋_GB2312" w:cs="Times New Roman"/>
          <w:sz w:val="32"/>
          <w:szCs w:val="32"/>
          <w:highlight w:val="none"/>
        </w:rPr>
        <w:t>责令其限期整改。逾期不改正的，可采取扣减基金管理费、更换基金管理人或采取其它措施，具体以合伙协议另行约定。</w:t>
      </w:r>
    </w:p>
    <w:p w14:paraId="70BDD8D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三十六</w:t>
      </w:r>
      <w:r>
        <w:rPr>
          <w:rFonts w:hint="default"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基金实行专款专用，禁止任何部门和单位截留、挪用，若存在上述情况，基金将立即终止合作并追回资金，依法追究上述单位责任</w:t>
      </w:r>
      <w:r>
        <w:rPr>
          <w:rFonts w:hint="default" w:ascii="Times New Roman" w:hAnsi="Times New Roman" w:eastAsia="仿宋_GB2312" w:cs="Times New Roman"/>
          <w:sz w:val="32"/>
          <w:szCs w:val="32"/>
          <w:highlight w:val="none"/>
          <w:lang w:eastAsia="zh-CN"/>
        </w:rPr>
        <w:t>。</w:t>
      </w:r>
    </w:p>
    <w:p w14:paraId="1930A243">
      <w:pPr>
        <w:keepNext w:val="0"/>
        <w:keepLines w:val="0"/>
        <w:pageBreakBefore w:val="0"/>
        <w:widowControl w:val="0"/>
        <w:kinsoku/>
        <w:wordWrap/>
        <w:overflowPunct/>
        <w:topLinePunct w:val="0"/>
        <w:autoSpaceDE/>
        <w:autoSpaceDN/>
        <w:bidi w:val="0"/>
        <w:adjustRightInd w:val="0"/>
        <w:snapToGrid w:val="0"/>
        <w:spacing w:line="560" w:lineRule="exact"/>
        <w:contextualSpacing/>
        <w:textAlignment w:val="auto"/>
        <w:rPr>
          <w:rFonts w:hint="default" w:ascii="Times New Roman" w:hAnsi="Times New Roman" w:eastAsia="仿宋_GB2312" w:cs="Times New Roman"/>
          <w:kern w:val="0"/>
          <w:sz w:val="32"/>
          <w:szCs w:val="32"/>
          <w:lang w:val="en-US" w:eastAsia="zh-CN"/>
        </w:rPr>
      </w:pPr>
    </w:p>
    <w:p w14:paraId="344D07A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contextualSpacing/>
        <w:jc w:val="center"/>
        <w:textAlignment w:val="auto"/>
        <w:rPr>
          <w:rFonts w:hint="default" w:ascii="Times New Roman" w:hAnsi="Times New Roman" w:eastAsia="黑体" w:cs="Times New Roman"/>
          <w:b w:val="0"/>
          <w:bCs w:val="0"/>
          <w:kern w:val="0"/>
          <w:sz w:val="32"/>
          <w:szCs w:val="32"/>
          <w:lang w:val="en-US" w:eastAsia="zh-CN"/>
        </w:rPr>
      </w:pPr>
      <w:r>
        <w:rPr>
          <w:rFonts w:hint="default" w:ascii="Times New Roman" w:hAnsi="Times New Roman" w:eastAsia="黑体" w:cs="Times New Roman"/>
          <w:b w:val="0"/>
          <w:bCs w:val="0"/>
          <w:kern w:val="0"/>
          <w:sz w:val="32"/>
          <w:szCs w:val="32"/>
          <w:lang w:val="en-US" w:eastAsia="zh-CN"/>
        </w:rPr>
        <w:t>第九章  附则</w:t>
      </w:r>
    </w:p>
    <w:p w14:paraId="280B002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320" w:firstLineChars="100"/>
        <w:contextualSpacing/>
        <w:textAlignment w:val="auto"/>
        <w:rPr>
          <w:rFonts w:hint="default" w:ascii="Times New Roman" w:hAnsi="Times New Roman" w:eastAsia="仿宋_GB2312" w:cs="Times New Roman"/>
          <w:kern w:val="0"/>
          <w:sz w:val="32"/>
          <w:szCs w:val="32"/>
          <w:lang w:val="en-US" w:eastAsia="zh-CN" w:bidi="ar-SA"/>
        </w:rPr>
      </w:pPr>
    </w:p>
    <w:p w14:paraId="3039519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第三十七条</w:t>
      </w:r>
      <w:r>
        <w:rPr>
          <w:rFonts w:hint="eastAsia" w:ascii="Times New Roman" w:hAnsi="Times New Roman" w:eastAsia="仿宋_GB2312" w:cs="Times New Roman"/>
          <w:kern w:val="0"/>
          <w:sz w:val="32"/>
          <w:szCs w:val="32"/>
          <w:lang w:val="en-US" w:eastAsia="zh-CN" w:bidi="ar-SA"/>
        </w:rPr>
        <w:t xml:space="preserve">  </w:t>
      </w:r>
      <w:r>
        <w:rPr>
          <w:rFonts w:hint="default" w:ascii="Times New Roman" w:hAnsi="Times New Roman" w:eastAsia="仿宋_GB2312" w:cs="Times New Roman"/>
          <w:kern w:val="0"/>
          <w:sz w:val="32"/>
          <w:szCs w:val="32"/>
          <w:lang w:val="en-US" w:eastAsia="zh-CN" w:bidi="ar-SA"/>
        </w:rPr>
        <w:t>基金管理机构应当保存基金管理全过程的信息及相关资料，确保信息的完整、连续、准确和可追溯，保存期限自基金清算终止之日起不得少于10年。</w:t>
      </w:r>
    </w:p>
    <w:p w14:paraId="6786DA8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第三十八条　本办法自2026年 月 日起实施，由共青团昆明市委负责解释。与国家法律法规或相关政策不一致的，按照国家法律法规或相关政策执行。</w:t>
      </w:r>
    </w:p>
    <w:p w14:paraId="2CF4DE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bidi="ar-SA"/>
        </w:rPr>
      </w:pPr>
    </w:p>
    <w:p w14:paraId="4EFF526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65DA5E38-D103-4742-9A10-6C7303198D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D3444D5F-6E40-4AC3-8E5C-5F20D12753A8}"/>
  </w:font>
  <w:font w:name="楷体_GB2312">
    <w:panose1 w:val="02010609030101010101"/>
    <w:charset w:val="86"/>
    <w:family w:val="auto"/>
    <w:pitch w:val="default"/>
    <w:sig w:usb0="00000001" w:usb1="080E0000" w:usb2="00000000" w:usb3="00000000" w:csb0="00040000" w:csb1="00000000"/>
    <w:embedRegular r:id="rId3" w:fontKey="{B5812919-2E95-4D4B-9829-4BBEB690FCB1}"/>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default"/>
    <w:sig w:usb0="00000001" w:usb1="080E0000" w:usb2="00000000" w:usb3="00000000" w:csb0="00040000" w:csb1="00000000"/>
    <w:embedRegular r:id="rId4" w:fontKey="{A9410A81-F8BD-43D9-AEA6-E3161F8469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37E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5447F">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B5447F">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978BC"/>
    <w:rsid w:val="02304DEA"/>
    <w:rsid w:val="043F474B"/>
    <w:rsid w:val="047F2D99"/>
    <w:rsid w:val="07061550"/>
    <w:rsid w:val="0898267C"/>
    <w:rsid w:val="0A60366D"/>
    <w:rsid w:val="0AB67731"/>
    <w:rsid w:val="0E032C8D"/>
    <w:rsid w:val="114809B7"/>
    <w:rsid w:val="11D0107D"/>
    <w:rsid w:val="139165A6"/>
    <w:rsid w:val="1572464A"/>
    <w:rsid w:val="16AB5C70"/>
    <w:rsid w:val="18A87FA5"/>
    <w:rsid w:val="1A1D08A0"/>
    <w:rsid w:val="1BD17939"/>
    <w:rsid w:val="22C32593"/>
    <w:rsid w:val="23F6004F"/>
    <w:rsid w:val="258E5640"/>
    <w:rsid w:val="287C56BE"/>
    <w:rsid w:val="28DF2342"/>
    <w:rsid w:val="296C74E1"/>
    <w:rsid w:val="298C6097"/>
    <w:rsid w:val="2D1532C9"/>
    <w:rsid w:val="2E9923C0"/>
    <w:rsid w:val="2EEB572C"/>
    <w:rsid w:val="2FC2013D"/>
    <w:rsid w:val="320209E2"/>
    <w:rsid w:val="32BD5456"/>
    <w:rsid w:val="390037A2"/>
    <w:rsid w:val="3EB47508"/>
    <w:rsid w:val="3F821555"/>
    <w:rsid w:val="418A4550"/>
    <w:rsid w:val="4A4D0811"/>
    <w:rsid w:val="4B15132F"/>
    <w:rsid w:val="4FC000E6"/>
    <w:rsid w:val="53CB74F7"/>
    <w:rsid w:val="54F2623D"/>
    <w:rsid w:val="584906F2"/>
    <w:rsid w:val="598C3104"/>
    <w:rsid w:val="5BA22089"/>
    <w:rsid w:val="5C05719D"/>
    <w:rsid w:val="5FB041AF"/>
    <w:rsid w:val="61113EEE"/>
    <w:rsid w:val="641461CF"/>
    <w:rsid w:val="691B73EA"/>
    <w:rsid w:val="6BE63669"/>
    <w:rsid w:val="6C0972C2"/>
    <w:rsid w:val="6C1F5711"/>
    <w:rsid w:val="6F1B2B08"/>
    <w:rsid w:val="733221CE"/>
    <w:rsid w:val="73BC5F3C"/>
    <w:rsid w:val="750162FC"/>
    <w:rsid w:val="75A35605"/>
    <w:rsid w:val="75EB0D5A"/>
    <w:rsid w:val="76A77363"/>
    <w:rsid w:val="790358D6"/>
    <w:rsid w:val="793835A6"/>
    <w:rsid w:val="79EF706B"/>
    <w:rsid w:val="7A0101E6"/>
    <w:rsid w:val="7B38234C"/>
    <w:rsid w:val="7B987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8a4f54b8-6086-4ebc-9f79-0eb650d1ad65</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3C85B21D</paraID>
      <start>99</start>
      <end>107</end>
      <status>ignored</status>
      <modifiedWord/>
      <trackRevisions>false</trackRevisions>
    </reviewItem>
    <reviewItem>
      <errorID>6c09990d-e52c-4f9e-9745-a66b905354db</errorID>
      <errorWord>其它</errorWord>
      <group>L1_Word</group>
      <groupName>字词问题</groupName>
      <ability>L2_Alias</ability>
      <abilityName>也作/曾用词</abilityName>
      <candidateList>
        <item>其他</item>
      </candidateList>
      <explain>词汇[其它]为不规范表述或旧称，其规范书面表述为[其他]。</explain>
      <paraID>452F8FB1</paraID>
      <start>3</start>
      <end>5</end>
      <status>ignored</status>
      <modifiedWord/>
      <trackRevisions>false</trackRevisions>
    </reviewItem>
    <reviewItem>
      <errorID>a9086e8e-24d5-45f9-8964-c14413cc71a0</errorID>
      <errorWord>其它</errorWord>
      <group>L1_Word</group>
      <groupName>字词问题</groupName>
      <ability>L2_Alias</ability>
      <abilityName>也作/曾用词</abilityName>
      <candidateList>
        <item>其他</item>
      </candidateList>
      <explain>词汇[其它]为不规范表述或旧称，其规范书面表述为[其他]。</explain>
      <paraID>191778B8</paraID>
      <start>3</start>
      <end>5</end>
      <status>ignored</status>
      <modifiedWord/>
      <trackRevisions>false</trackRevisions>
    </reviewItem>
    <reviewItem>
      <errorID>b585310e-62b1-4f52-aa5d-0174bd0d1551</errorID>
      <errorWord>束</errorWord>
      <group>L1_Word</group>
      <groupName>字词问题</groupName>
      <ability>L2_Typo</ability>
      <abilityName>字词错误</abilityName>
      <candidateList>
        <item>束后</item>
      </candidateList>
      <explain/>
      <paraID>18BDF051</paraID>
      <start>24</start>
      <end>25</end>
      <status>ignored</status>
      <modifiedWord/>
      <trackRevisions>false</trackRevisions>
    </reviewItem>
    <reviewItem>
      <errorID>3fef0b3c-e5a2-4c0a-ab59-7567f38d6437</errorID>
      <errorWord>或采取其它措施</errorWord>
      <group>L1_Word</group>
      <groupName>字词问题</groupName>
      <ability>L2_Alias</ability>
      <abilityName>也作/曾用词</abilityName>
      <candidateList>
        <item>或采取其他措施</item>
      </candidateList>
      <explain>词汇[或采取其它措施]为不规范表述或旧称，其规范书面表述为[或采取其他措施]。</explain>
      <paraID> 520F7B2</paraID>
      <start>81</start>
      <end>88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99375-393b-446c-a985-6cd2b6576585}">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5094</Words>
  <Characters>5149</Characters>
  <Lines>0</Lines>
  <Paragraphs>0</Paragraphs>
  <TotalTime>16</TotalTime>
  <ScaleCrop>false</ScaleCrop>
  <LinksUpToDate>false</LinksUpToDate>
  <CharactersWithSpaces>5221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2026-05-13T03:11:00Z</dcterms:created>
  <dc:creator>PC</dc:creator>
  <cp:lastModifiedBy>马宇峰</cp:lastModifiedBy>
  <cp:lastPrinted>2026-05-29T06:52:00Z</cp:lastPrinted>
  <dcterms:modified xsi:type="dcterms:W3CDTF">2026-06-10T02:00:56Z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eyJoZGlkIjoiYzRkODE0ZTlmYWRkNWNiMjMwMmI3N2MzMjUwNzYxY2MiLCJ1c2VySWQiOiIxNTEyNjU0NjUzIn0=</vt:lpwstr>
  </property>
  <property fmtid="{D5CDD505-2E9C-101B-9397-08002B2CF9AE}" pid="4" name="ICV">
    <vt:lpwstr>F95BB5C2B5774375BD520FB3D454D6D2_13</vt:lpwstr>
  </property>
</Properties>
</file>